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5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7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7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7"/>
          <w:sz w:val="44"/>
          <w:szCs w:val="44"/>
        </w:rPr>
        <w:t>年职称申报岗位情况说明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5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部门版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市人社局：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我系统共有二级单位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个，共设专业技术高级岗位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个，目前有高级空岗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年共申报高级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人，其中按空岗申报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人，按5%申报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共设专业技术中级岗位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个，目前有中级空岗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年共申报中级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人，其中按空岗申报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人，按5%申报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5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7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7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7"/>
          <w:sz w:val="44"/>
          <w:szCs w:val="44"/>
        </w:rPr>
        <w:t>年高级职称申报岗位情况说明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5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旗区版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市人社局：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共设专业技术高级岗位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个，目前有高级空岗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年共申报高级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人，其中按空岗申报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人，按5%申报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2070" w:h="16920"/>
          <w:pgMar w:top="2098" w:right="1474" w:bottom="1984" w:left="1587" w:header="0" w:footer="0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03643C43"/>
    <w:rsid w:val="036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2023-05-12T02:30:00Z</dcterms:created>
  <dc:creator>战地残阳</dc:creator>
  <cp:lastModifiedBy>战地残阳</cp:lastModifiedBy>
  <dcterms:modified xsi:type="dcterms:W3CDTF">2023-05-12T02:32:20Z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4F5C0AB0975F4CFF9FC6C2668EF923B6_11</vt:lpwstr>
  </property>
</Properties>
</file>