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EBA79">
      <w:pPr>
        <w:keepNext w:val="0"/>
        <w:keepLines w:val="0"/>
        <w:pageBreakBefore w:val="0"/>
        <w:kinsoku/>
        <w:wordWrap/>
        <w:overflowPunct/>
        <w:topLinePunct w:val="0"/>
        <w:autoSpaceDE/>
        <w:autoSpaceDN/>
        <w:bidi w:val="0"/>
        <w:adjustRightInd/>
        <w:snapToGrid w:val="0"/>
        <w:spacing w:before="0" w:after="0" w:line="579" w:lineRule="exact"/>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附件</w:t>
      </w:r>
      <w:r>
        <w:rPr>
          <w:rFonts w:hint="eastAsia" w:ascii="仿宋_GB2312" w:hAnsi="仿宋_GB2312" w:eastAsia="仿宋_GB2312" w:cs="仿宋_GB2312"/>
          <w:color w:val="auto"/>
          <w:sz w:val="32"/>
          <w:szCs w:val="32"/>
          <w:highlight w:val="none"/>
          <w:lang w:val="en-US" w:eastAsia="zh-CN"/>
        </w:rPr>
        <w:t>1</w:t>
      </w:r>
    </w:p>
    <w:p w14:paraId="2DB5AE62">
      <w:pPr>
        <w:keepNext w:val="0"/>
        <w:keepLines w:val="0"/>
        <w:pageBreakBefore w:val="0"/>
        <w:kinsoku/>
        <w:wordWrap/>
        <w:overflowPunct/>
        <w:topLinePunct w:val="0"/>
        <w:autoSpaceDE/>
        <w:autoSpaceDN/>
        <w:bidi w:val="0"/>
        <w:adjustRightInd/>
        <w:snapToGrid w:val="0"/>
        <w:spacing w:before="0" w:after="0" w:line="579" w:lineRule="exact"/>
        <w:jc w:val="both"/>
        <w:textAlignment w:val="auto"/>
        <w:outlineLvl w:val="9"/>
        <w:rPr>
          <w:rFonts w:hint="eastAsia" w:ascii="仿宋_GB2312" w:hAnsi="仿宋_GB2312" w:eastAsia="仿宋_GB2312" w:cs="仿宋_GB2312"/>
          <w:color w:val="auto"/>
          <w:sz w:val="32"/>
          <w:szCs w:val="32"/>
          <w:highlight w:val="none"/>
          <w:lang w:val="en-US" w:eastAsia="zh-CN"/>
        </w:rPr>
      </w:pPr>
    </w:p>
    <w:p w14:paraId="57562D95">
      <w:pPr>
        <w:keepNext w:val="0"/>
        <w:keepLines w:val="0"/>
        <w:pageBreakBefore w:val="0"/>
        <w:kinsoku/>
        <w:wordWrap/>
        <w:overflowPunct/>
        <w:topLinePunct w:val="0"/>
        <w:autoSpaceDE/>
        <w:autoSpaceDN/>
        <w:bidi w:val="0"/>
        <w:adjustRightInd/>
        <w:snapToGrid w:val="0"/>
        <w:spacing w:before="0" w:after="0" w:line="579" w:lineRule="exact"/>
        <w:jc w:val="center"/>
        <w:textAlignment w:val="auto"/>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鄂尔多斯市</w:t>
      </w:r>
      <w:r>
        <w:rPr>
          <w:rFonts w:hint="eastAsia" w:ascii="方正小标宋简体" w:hAnsi="方正小标宋简体" w:eastAsia="方正小标宋简体" w:cs="方正小标宋简体"/>
          <w:color w:val="auto"/>
          <w:sz w:val="44"/>
          <w:szCs w:val="44"/>
          <w:highlight w:val="none"/>
        </w:rPr>
        <w:t>稳岗扩容提质工程</w:t>
      </w:r>
      <w:r>
        <w:rPr>
          <w:rFonts w:hint="eastAsia" w:ascii="方正小标宋简体" w:hAnsi="方正小标宋简体" w:eastAsia="方正小标宋简体" w:cs="方正小标宋简体"/>
          <w:color w:val="auto"/>
          <w:sz w:val="44"/>
          <w:szCs w:val="44"/>
          <w:highlight w:val="none"/>
          <w:lang w:eastAsia="zh-CN"/>
        </w:rPr>
        <w:t>实施方案</w:t>
      </w:r>
    </w:p>
    <w:p w14:paraId="68EF4A8F">
      <w:pPr>
        <w:keepNext w:val="0"/>
        <w:keepLines w:val="0"/>
        <w:pageBreakBefore w:val="0"/>
        <w:kinsoku/>
        <w:wordWrap/>
        <w:overflowPunct/>
        <w:topLinePunct w:val="0"/>
        <w:autoSpaceDE/>
        <w:autoSpaceDN/>
        <w:bidi w:val="0"/>
        <w:adjustRightInd/>
        <w:snapToGrid w:val="0"/>
        <w:spacing w:before="0" w:after="0" w:line="560" w:lineRule="exact"/>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r>
        <w:rPr>
          <w:rFonts w:hint="eastAsia" w:ascii="楷体_GB2312" w:hAnsi="楷体_GB2312" w:eastAsia="楷体_GB2312" w:cs="楷体_GB2312"/>
          <w:color w:val="auto"/>
          <w:sz w:val="32"/>
          <w:szCs w:val="32"/>
          <w:highlight w:val="none"/>
          <w:lang w:eastAsia="zh-CN"/>
        </w:rPr>
        <w:t>（征求意见稿）</w:t>
      </w:r>
    </w:p>
    <w:p w14:paraId="4D0EE3E6">
      <w:pPr>
        <w:keepNext w:val="0"/>
        <w:keepLines w:val="0"/>
        <w:pageBreakBefore w:val="0"/>
        <w:kinsoku/>
        <w:wordWrap/>
        <w:overflowPunct/>
        <w:topLinePunct w:val="0"/>
        <w:autoSpaceDE/>
        <w:autoSpaceDN/>
        <w:bidi w:val="0"/>
        <w:adjustRightInd/>
        <w:snapToGrid w:val="0"/>
        <w:spacing w:before="0" w:after="0" w:line="579" w:lineRule="exact"/>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p>
    <w:p w14:paraId="58A54AD2">
      <w:pPr>
        <w:pStyle w:val="23"/>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仿宋-GB2312" w:hAnsi="CESI仿宋-GB2312" w:eastAsia="CESI仿宋-GB2312" w:cs="CESI仿宋-GB2312"/>
          <w:b w:val="0"/>
          <w:bCs w:val="0"/>
          <w:color w:val="auto"/>
          <w:sz w:val="32"/>
          <w:szCs w:val="32"/>
          <w:highlight w:val="none"/>
        </w:rPr>
      </w:pPr>
      <w:r>
        <w:rPr>
          <w:rFonts w:hint="eastAsia" w:ascii="CESI仿宋-GB2312" w:hAnsi="CESI仿宋-GB2312" w:eastAsia="CESI仿宋-GB2312" w:cs="CESI仿宋-GB2312"/>
          <w:b w:val="0"/>
          <w:bCs w:val="0"/>
          <w:color w:val="auto"/>
          <w:sz w:val="32"/>
          <w:szCs w:val="32"/>
          <w:highlight w:val="none"/>
        </w:rPr>
        <w:t>为深入贯彻</w:t>
      </w:r>
      <w:r>
        <w:rPr>
          <w:rFonts w:hint="eastAsia" w:ascii="CESI仿宋-GB2312" w:hAnsi="CESI仿宋-GB2312" w:eastAsia="CESI仿宋-GB2312" w:cs="CESI仿宋-GB2312"/>
          <w:b w:val="0"/>
          <w:bCs w:val="0"/>
          <w:color w:val="auto"/>
          <w:sz w:val="32"/>
          <w:szCs w:val="32"/>
          <w:highlight w:val="none"/>
          <w:lang w:eastAsia="zh-CN"/>
        </w:rPr>
        <w:t>党的二十届历次全会精神，全面落实自治区党委“</w:t>
      </w:r>
      <w:r>
        <w:rPr>
          <w:rFonts w:hint="eastAsia" w:ascii="CESI仿宋-GB2312" w:hAnsi="CESI仿宋-GB2312" w:eastAsia="CESI仿宋-GB2312" w:cs="CESI仿宋-GB2312"/>
          <w:b w:val="0"/>
          <w:bCs w:val="0"/>
          <w:color w:val="auto"/>
          <w:sz w:val="32"/>
          <w:szCs w:val="32"/>
          <w:highlight w:val="none"/>
          <w:lang w:val="en-US" w:eastAsia="zh-CN"/>
        </w:rPr>
        <w:t>1571</w:t>
      </w:r>
      <w:r>
        <w:rPr>
          <w:rFonts w:hint="eastAsia" w:ascii="CESI仿宋-GB2312" w:hAnsi="CESI仿宋-GB2312" w:eastAsia="CESI仿宋-GB2312" w:cs="CESI仿宋-GB2312"/>
          <w:b w:val="0"/>
          <w:bCs w:val="0"/>
          <w:color w:val="auto"/>
          <w:sz w:val="32"/>
          <w:szCs w:val="32"/>
          <w:highlight w:val="none"/>
          <w:lang w:eastAsia="zh-CN"/>
        </w:rPr>
        <w:t>”工作部署和全市经济工作会议要求，根据《中共中央 国务院关于实施就业优先战略促进高质量充分就业的意见》（中发〔2024〕18号）、《内蒙古自治区就业促进和劳动保护工作领导小组关于印发内蒙古自治区稳岗扩容提质工程实施方案的通知》（内就劳发〔202</w:t>
      </w:r>
      <w:r>
        <w:rPr>
          <w:rFonts w:hint="eastAsia" w:ascii="CESI仿宋-GB2312" w:hAnsi="CESI仿宋-GB2312" w:eastAsia="CESI仿宋-GB2312" w:cs="CESI仿宋-GB2312"/>
          <w:b w:val="0"/>
          <w:bCs w:val="0"/>
          <w:color w:val="auto"/>
          <w:sz w:val="32"/>
          <w:szCs w:val="32"/>
          <w:highlight w:val="none"/>
          <w:lang w:val="en-US" w:eastAsia="zh-CN"/>
        </w:rPr>
        <w:t>6</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val="en-US" w:eastAsia="zh-CN"/>
        </w:rPr>
        <w:t>3</w:t>
      </w:r>
      <w:r>
        <w:rPr>
          <w:rFonts w:hint="eastAsia" w:ascii="CESI仿宋-GB2312" w:hAnsi="CESI仿宋-GB2312" w:eastAsia="CESI仿宋-GB2312" w:cs="CESI仿宋-GB2312"/>
          <w:b w:val="0"/>
          <w:bCs w:val="0"/>
          <w:color w:val="auto"/>
          <w:sz w:val="32"/>
          <w:szCs w:val="32"/>
          <w:highlight w:val="none"/>
          <w:lang w:eastAsia="zh-CN"/>
        </w:rPr>
        <w:t>号）相关文件要求，认真组织实施好</w:t>
      </w:r>
      <w:r>
        <w:rPr>
          <w:rFonts w:hint="eastAsia" w:ascii="CESI仿宋-GB2312" w:hAnsi="CESI仿宋-GB2312" w:eastAsia="CESI仿宋-GB2312" w:cs="CESI仿宋-GB2312"/>
          <w:b w:val="0"/>
          <w:bCs w:val="0"/>
          <w:color w:val="auto"/>
          <w:sz w:val="32"/>
          <w:szCs w:val="32"/>
          <w:highlight w:val="none"/>
        </w:rPr>
        <w:t>稳岗扩容提质</w:t>
      </w:r>
      <w:r>
        <w:rPr>
          <w:rFonts w:hint="eastAsia" w:ascii="CESI仿宋-GB2312" w:hAnsi="CESI仿宋-GB2312" w:eastAsia="CESI仿宋-GB2312" w:cs="CESI仿宋-GB2312"/>
          <w:b w:val="0"/>
          <w:bCs w:val="0"/>
          <w:color w:val="auto"/>
          <w:sz w:val="32"/>
          <w:szCs w:val="32"/>
          <w:highlight w:val="none"/>
          <w:lang w:eastAsia="zh-CN"/>
        </w:rPr>
        <w:t>工程</w:t>
      </w:r>
      <w:r>
        <w:rPr>
          <w:rFonts w:hint="eastAsia" w:ascii="CESI仿宋-GB2312" w:hAnsi="CESI仿宋-GB2312" w:eastAsia="CESI仿宋-GB2312" w:cs="CESI仿宋-GB2312"/>
          <w:b w:val="0"/>
          <w:bCs w:val="0"/>
          <w:color w:val="auto"/>
          <w:sz w:val="32"/>
          <w:szCs w:val="32"/>
          <w:highlight w:val="none"/>
        </w:rPr>
        <w:t>，</w:t>
      </w:r>
      <w:r>
        <w:rPr>
          <w:rFonts w:hint="eastAsia" w:ascii="CESI仿宋-GB2312" w:hAnsi="CESI仿宋-GB2312" w:eastAsia="CESI仿宋-GB2312" w:cs="CESI仿宋-GB2312"/>
          <w:b w:val="0"/>
          <w:bCs w:val="0"/>
          <w:color w:val="auto"/>
          <w:sz w:val="32"/>
          <w:szCs w:val="32"/>
          <w:highlight w:val="none"/>
          <w:lang w:eastAsia="zh-CN"/>
        </w:rPr>
        <w:t>现</w:t>
      </w:r>
      <w:r>
        <w:rPr>
          <w:rFonts w:hint="eastAsia" w:ascii="CESI仿宋-GB2312" w:hAnsi="CESI仿宋-GB2312" w:eastAsia="CESI仿宋-GB2312" w:cs="CESI仿宋-GB2312"/>
          <w:b w:val="0"/>
          <w:bCs w:val="0"/>
          <w:color w:val="auto"/>
          <w:sz w:val="32"/>
          <w:szCs w:val="32"/>
          <w:highlight w:val="none"/>
        </w:rPr>
        <w:t>结合我市实际，</w:t>
      </w:r>
      <w:r>
        <w:rPr>
          <w:rFonts w:hint="eastAsia" w:ascii="CESI仿宋-GB2312" w:hAnsi="CESI仿宋-GB2312" w:eastAsia="CESI仿宋-GB2312" w:cs="CESI仿宋-GB2312"/>
          <w:b w:val="0"/>
          <w:bCs w:val="0"/>
          <w:color w:val="auto"/>
          <w:sz w:val="32"/>
          <w:szCs w:val="32"/>
          <w:highlight w:val="none"/>
          <w:lang w:eastAsia="zh-CN"/>
        </w:rPr>
        <w:t>制定如下方案</w:t>
      </w:r>
      <w:r>
        <w:rPr>
          <w:rFonts w:hint="eastAsia" w:ascii="CESI仿宋-GB2312" w:hAnsi="CESI仿宋-GB2312" w:eastAsia="CESI仿宋-GB2312" w:cs="CESI仿宋-GB2312"/>
          <w:b w:val="0"/>
          <w:bCs w:val="0"/>
          <w:color w:val="auto"/>
          <w:sz w:val="32"/>
          <w:szCs w:val="32"/>
          <w:highlight w:val="none"/>
        </w:rPr>
        <w:t>。</w:t>
      </w:r>
    </w:p>
    <w:p w14:paraId="674E627D">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黑体-GB2312" w:hAnsi="CESI黑体-GB2312" w:eastAsia="CESI黑体-GB2312" w:cs="CESI黑体-GB2312"/>
          <w:b w:val="0"/>
          <w:bCs w:val="0"/>
          <w:color w:val="auto"/>
          <w:sz w:val="32"/>
          <w:szCs w:val="32"/>
          <w:highlight w:val="none"/>
        </w:rPr>
      </w:pPr>
      <w:r>
        <w:rPr>
          <w:rFonts w:hint="eastAsia" w:ascii="CESI黑体-GB2312" w:hAnsi="CESI黑体-GB2312" w:eastAsia="CESI黑体-GB2312" w:cs="CESI黑体-GB2312"/>
          <w:b w:val="0"/>
          <w:bCs w:val="0"/>
          <w:color w:val="auto"/>
          <w:sz w:val="32"/>
          <w:szCs w:val="32"/>
          <w:highlight w:val="none"/>
        </w:rPr>
        <w:t>一、</w:t>
      </w:r>
      <w:r>
        <w:rPr>
          <w:rFonts w:hint="eastAsia" w:ascii="CESI黑体-GB2312" w:hAnsi="CESI黑体-GB2312" w:eastAsia="CESI黑体-GB2312" w:cs="CESI黑体-GB2312"/>
          <w:b w:val="0"/>
          <w:bCs w:val="0"/>
          <w:color w:val="auto"/>
          <w:sz w:val="32"/>
          <w:szCs w:val="32"/>
          <w:highlight w:val="none"/>
          <w:lang w:eastAsia="zh-CN"/>
        </w:rPr>
        <w:t>工作</w:t>
      </w:r>
      <w:r>
        <w:rPr>
          <w:rFonts w:hint="eastAsia" w:ascii="CESI黑体-GB2312" w:hAnsi="CESI黑体-GB2312" w:eastAsia="CESI黑体-GB2312" w:cs="CESI黑体-GB2312"/>
          <w:b w:val="0"/>
          <w:bCs w:val="0"/>
          <w:color w:val="auto"/>
          <w:sz w:val="32"/>
          <w:szCs w:val="32"/>
          <w:highlight w:val="none"/>
        </w:rPr>
        <w:t>目标</w:t>
      </w:r>
    </w:p>
    <w:p w14:paraId="5B1B605F">
      <w:pPr>
        <w:pStyle w:val="23"/>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仿宋-GB2312" w:hAnsi="CESI仿宋-GB2312" w:eastAsia="CESI仿宋-GB2312" w:cs="CESI仿宋-GB2312"/>
          <w:b w:val="0"/>
          <w:bCs w:val="0"/>
          <w:color w:val="auto"/>
          <w:sz w:val="32"/>
          <w:szCs w:val="32"/>
          <w:highlight w:val="none"/>
        </w:rPr>
      </w:pPr>
      <w:r>
        <w:rPr>
          <w:rFonts w:hint="eastAsia" w:ascii="CESI仿宋-GB2312" w:hAnsi="CESI仿宋-GB2312" w:eastAsia="CESI仿宋-GB2312" w:cs="CESI仿宋-GB2312"/>
          <w:b w:val="0"/>
          <w:bCs w:val="0"/>
          <w:color w:val="auto"/>
          <w:sz w:val="32"/>
          <w:szCs w:val="32"/>
          <w:highlight w:val="none"/>
        </w:rPr>
        <w:t>以构建就业友好型发展方式为牵引，</w:t>
      </w:r>
      <w:r>
        <w:rPr>
          <w:rFonts w:hint="eastAsia" w:ascii="CESI仿宋-GB2312" w:hAnsi="CESI仿宋-GB2312" w:eastAsia="CESI仿宋-GB2312" w:cs="CESI仿宋-GB2312"/>
          <w:b w:val="0"/>
          <w:bCs w:val="0"/>
          <w:color w:val="auto"/>
          <w:sz w:val="32"/>
          <w:szCs w:val="32"/>
          <w:highlight w:val="none"/>
          <w:lang w:eastAsia="zh-CN"/>
        </w:rPr>
        <w:t>聚焦“六个暖城”建设总目标，着力稳定就业岗位、扩大就业容量、提升就业质量</w:t>
      </w:r>
      <w:r>
        <w:rPr>
          <w:rFonts w:hint="eastAsia" w:ascii="CESI仿宋-GB2312" w:hAnsi="CESI仿宋-GB2312" w:eastAsia="CESI仿宋-GB2312" w:cs="CESI仿宋-GB2312"/>
          <w:b w:val="0"/>
          <w:bCs w:val="0"/>
          <w:color w:val="auto"/>
          <w:sz w:val="32"/>
          <w:szCs w:val="32"/>
          <w:highlight w:val="none"/>
        </w:rPr>
        <w:t>，实现2026年全市城镇新增就业</w:t>
      </w:r>
      <w:r>
        <w:rPr>
          <w:rFonts w:hint="eastAsia" w:ascii="CESI仿宋-GB2312" w:hAnsi="CESI仿宋-GB2312" w:eastAsia="CESI仿宋-GB2312" w:cs="CESI仿宋-GB2312"/>
          <w:b w:val="0"/>
          <w:bCs w:val="0"/>
          <w:color w:val="auto"/>
          <w:sz w:val="32"/>
          <w:szCs w:val="32"/>
          <w:highlight w:val="none"/>
          <w:lang w:val="en-US" w:eastAsia="zh-CN"/>
        </w:rPr>
        <w:t>2.35</w:t>
      </w:r>
      <w:r>
        <w:rPr>
          <w:rFonts w:hint="eastAsia" w:ascii="CESI仿宋-GB2312" w:hAnsi="CESI仿宋-GB2312" w:eastAsia="CESI仿宋-GB2312" w:cs="CESI仿宋-GB2312"/>
          <w:b w:val="0"/>
          <w:bCs w:val="0"/>
          <w:color w:val="auto"/>
          <w:sz w:val="32"/>
          <w:szCs w:val="32"/>
          <w:highlight w:val="none"/>
        </w:rPr>
        <w:t>万人以上，新挖掘就业岗位3</w:t>
      </w:r>
      <w:r>
        <w:rPr>
          <w:rFonts w:hint="eastAsia" w:ascii="CESI仿宋-GB2312" w:hAnsi="CESI仿宋-GB2312" w:eastAsia="CESI仿宋-GB2312" w:cs="CESI仿宋-GB2312"/>
          <w:b w:val="0"/>
          <w:bCs w:val="0"/>
          <w:color w:val="auto"/>
          <w:sz w:val="32"/>
          <w:szCs w:val="32"/>
          <w:highlight w:val="none"/>
          <w:lang w:val="en-US" w:eastAsia="zh-CN"/>
        </w:rPr>
        <w:t>.5</w:t>
      </w:r>
      <w:r>
        <w:rPr>
          <w:rFonts w:hint="eastAsia" w:ascii="CESI仿宋-GB2312" w:hAnsi="CESI仿宋-GB2312" w:eastAsia="CESI仿宋-GB2312" w:cs="CESI仿宋-GB2312"/>
          <w:b w:val="0"/>
          <w:bCs w:val="0"/>
          <w:color w:val="auto"/>
          <w:sz w:val="32"/>
          <w:szCs w:val="32"/>
          <w:highlight w:val="none"/>
        </w:rPr>
        <w:t>万个以上，技能培训覆盖</w:t>
      </w:r>
      <w:r>
        <w:rPr>
          <w:rFonts w:hint="eastAsia" w:ascii="CESI仿宋-GB2312" w:hAnsi="CESI仿宋-GB2312" w:eastAsia="CESI仿宋-GB2312" w:cs="CESI仿宋-GB2312"/>
          <w:b w:val="0"/>
          <w:bCs w:val="0"/>
          <w:color w:val="auto"/>
          <w:sz w:val="32"/>
          <w:szCs w:val="32"/>
          <w:highlight w:val="none"/>
          <w:lang w:val="en-US" w:eastAsia="zh-CN"/>
        </w:rPr>
        <w:t>2</w:t>
      </w:r>
      <w:r>
        <w:rPr>
          <w:rFonts w:hint="eastAsia" w:ascii="CESI仿宋-GB2312" w:hAnsi="CESI仿宋-GB2312" w:eastAsia="CESI仿宋-GB2312" w:cs="CESI仿宋-GB2312"/>
          <w:b w:val="0"/>
          <w:bCs w:val="0"/>
          <w:color w:val="auto"/>
          <w:sz w:val="32"/>
          <w:szCs w:val="32"/>
          <w:highlight w:val="none"/>
        </w:rPr>
        <w:t>万人次以上，</w:t>
      </w:r>
      <w:r>
        <w:rPr>
          <w:rFonts w:hint="eastAsia" w:ascii="CESI仿宋-GB2312" w:hAnsi="CESI仿宋-GB2312" w:eastAsia="CESI仿宋-GB2312" w:cs="CESI仿宋-GB2312"/>
          <w:b w:val="0"/>
          <w:bCs w:val="0"/>
          <w:color w:val="auto"/>
          <w:sz w:val="32"/>
          <w:szCs w:val="32"/>
          <w:highlight w:val="none"/>
          <w:lang w:eastAsia="zh-CN"/>
        </w:rPr>
        <w:t>公共就业服务进一步向基层延伸覆盖，</w:t>
      </w:r>
      <w:r>
        <w:rPr>
          <w:rFonts w:hint="eastAsia" w:ascii="CESI仿宋-GB2312" w:hAnsi="CESI仿宋-GB2312" w:eastAsia="CESI仿宋-GB2312" w:cs="CESI仿宋-GB2312"/>
          <w:b w:val="0"/>
          <w:bCs w:val="0"/>
          <w:color w:val="auto"/>
          <w:sz w:val="32"/>
          <w:szCs w:val="32"/>
          <w:highlight w:val="none"/>
        </w:rPr>
        <w:t>打造公平有序、保障</w:t>
      </w:r>
      <w:r>
        <w:rPr>
          <w:rFonts w:hint="eastAsia" w:ascii="CESI仿宋-GB2312" w:hAnsi="CESI仿宋-GB2312" w:eastAsia="CESI仿宋-GB2312" w:cs="CESI仿宋-GB2312"/>
          <w:b w:val="0"/>
          <w:bCs w:val="0"/>
          <w:color w:val="auto"/>
          <w:spacing w:val="-6"/>
          <w:sz w:val="32"/>
          <w:szCs w:val="32"/>
          <w:highlight w:val="none"/>
        </w:rPr>
        <w:t>有力的就业环境，为全市经济社会高质量发展提供坚实就业支撑。</w:t>
      </w:r>
    </w:p>
    <w:p w14:paraId="3B7A2081">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黑体-GB2312" w:hAnsi="CESI黑体-GB2312" w:eastAsia="CESI黑体-GB2312" w:cs="CESI黑体-GB2312"/>
          <w:b w:val="0"/>
          <w:bCs w:val="0"/>
          <w:color w:val="auto"/>
          <w:sz w:val="32"/>
          <w:szCs w:val="32"/>
          <w:highlight w:val="none"/>
          <w:lang w:eastAsia="zh-CN"/>
        </w:rPr>
      </w:pPr>
      <w:r>
        <w:rPr>
          <w:rFonts w:hint="eastAsia" w:ascii="CESI黑体-GB2312" w:hAnsi="CESI黑体-GB2312" w:eastAsia="CESI黑体-GB2312" w:cs="CESI黑体-GB2312"/>
          <w:b w:val="0"/>
          <w:bCs w:val="0"/>
          <w:color w:val="auto"/>
          <w:sz w:val="32"/>
          <w:szCs w:val="32"/>
          <w:highlight w:val="none"/>
        </w:rPr>
        <w:t>二、重点任务及</w:t>
      </w:r>
      <w:r>
        <w:rPr>
          <w:rFonts w:hint="eastAsia" w:ascii="CESI黑体-GB2312" w:hAnsi="CESI黑体-GB2312" w:eastAsia="CESI黑体-GB2312" w:cs="CESI黑体-GB2312"/>
          <w:b w:val="0"/>
          <w:bCs w:val="0"/>
          <w:color w:val="auto"/>
          <w:sz w:val="32"/>
          <w:szCs w:val="32"/>
          <w:highlight w:val="none"/>
          <w:lang w:eastAsia="zh-CN"/>
        </w:rPr>
        <w:t>措施</w:t>
      </w:r>
    </w:p>
    <w:p w14:paraId="34C3F023">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楷体-GB2312" w:hAnsi="CESI楷体-GB2312" w:eastAsia="CESI楷体-GB2312" w:cs="CESI楷体-GB2312"/>
          <w:b w:val="0"/>
          <w:bCs w:val="0"/>
          <w:color w:val="auto"/>
          <w:sz w:val="32"/>
          <w:szCs w:val="32"/>
          <w:highlight w:val="none"/>
        </w:rPr>
      </w:pPr>
      <w:r>
        <w:rPr>
          <w:rFonts w:hint="eastAsia" w:ascii="CESI楷体-GB2312" w:hAnsi="CESI楷体-GB2312" w:eastAsia="CESI楷体-GB2312" w:cs="CESI楷体-GB2312"/>
          <w:b w:val="0"/>
          <w:bCs w:val="0"/>
          <w:color w:val="auto"/>
          <w:sz w:val="32"/>
          <w:szCs w:val="32"/>
          <w:highlight w:val="none"/>
        </w:rPr>
        <w:t>（一）稳定就业岗位，筑牢就业基本盘</w:t>
      </w:r>
    </w:p>
    <w:p w14:paraId="12D2AFBB">
      <w:pPr>
        <w:pStyle w:val="23"/>
        <w:keepNext w:val="0"/>
        <w:keepLines w:val="0"/>
        <w:pageBreakBefore w:val="0"/>
        <w:widowControl/>
        <w:numPr>
          <w:ilvl w:val="0"/>
          <w:numId w:val="0"/>
        </w:numPr>
        <w:kinsoku/>
        <w:wordWrap/>
        <w:overflowPunct/>
        <w:topLinePunct w:val="0"/>
        <w:autoSpaceDE/>
        <w:autoSpaceDN/>
        <w:bidi w:val="0"/>
        <w:adjustRightInd/>
        <w:snapToGrid w:val="0"/>
        <w:spacing w:before="0" w:after="0" w:line="579" w:lineRule="exact"/>
        <w:ind w:left="0" w:leftChars="0" w:firstLine="641" w:firstLineChars="200"/>
        <w:jc w:val="both"/>
        <w:textAlignment w:val="auto"/>
        <w:outlineLvl w:val="9"/>
        <w:rPr>
          <w:rFonts w:hint="eastAsia" w:ascii="CESI仿宋-GB2312" w:hAnsi="CESI仿宋-GB2312" w:eastAsia="楷体_GB2312" w:cs="CESI仿宋-GB2312"/>
          <w:b w:val="0"/>
          <w:bCs w:val="0"/>
          <w:color w:val="auto"/>
          <w:sz w:val="32"/>
          <w:szCs w:val="32"/>
          <w:highlight w:val="none"/>
          <w:lang w:eastAsia="zh-CN"/>
        </w:rPr>
      </w:pPr>
      <w:r>
        <w:rPr>
          <w:rFonts w:hint="eastAsia" w:ascii="CESI仿宋-GB2312" w:hAnsi="CESI仿宋-GB2312" w:eastAsia="CESI仿宋-GB2312" w:cs="CESI仿宋-GB2312"/>
          <w:b/>
          <w:bCs/>
          <w:color w:val="auto"/>
          <w:sz w:val="32"/>
          <w:szCs w:val="32"/>
          <w:highlight w:val="none"/>
          <w:lang w:val="en-US" w:eastAsia="zh-CN"/>
        </w:rPr>
        <w:t>1.加力助企纾困稳定就业岗位</w:t>
      </w:r>
      <w:r>
        <w:rPr>
          <w:rFonts w:hint="eastAsia" w:ascii="CESI仿宋-GB2312" w:hAnsi="CESI仿宋-GB2312" w:eastAsia="CESI仿宋-GB2312" w:cs="CESI仿宋-GB2312"/>
          <w:b/>
          <w:bCs/>
          <w:color w:val="auto"/>
          <w:sz w:val="32"/>
          <w:szCs w:val="32"/>
          <w:highlight w:val="none"/>
        </w:rPr>
        <w:t>。</w:t>
      </w:r>
      <w:r>
        <w:rPr>
          <w:rFonts w:hint="eastAsia" w:ascii="CESI仿宋-GB2312" w:hAnsi="CESI仿宋-GB2312" w:eastAsia="CESI仿宋-GB2312" w:cs="CESI仿宋-GB2312"/>
          <w:b w:val="0"/>
          <w:bCs w:val="0"/>
          <w:color w:val="auto"/>
          <w:sz w:val="32"/>
          <w:szCs w:val="32"/>
          <w:highlight w:val="none"/>
          <w:lang w:eastAsia="zh-CN"/>
        </w:rPr>
        <w:t>优化实施稳岗促就业各项措施，</w:t>
      </w:r>
      <w:r>
        <w:rPr>
          <w:rFonts w:hint="eastAsia" w:ascii="CESI仿宋-GB2312" w:hAnsi="CESI仿宋-GB2312" w:eastAsia="CESI仿宋-GB2312" w:cs="CESI仿宋-GB2312"/>
          <w:b w:val="0"/>
          <w:bCs w:val="0"/>
          <w:color w:val="auto"/>
          <w:sz w:val="32"/>
          <w:szCs w:val="32"/>
          <w:highlight w:val="none"/>
        </w:rPr>
        <w:t>对上年度未裁员或裁员率低于统筹地区城镇调查失业率控制目标的企业</w:t>
      </w:r>
      <w:r>
        <w:rPr>
          <w:rFonts w:hint="eastAsia" w:ascii="CESI仿宋-GB2312" w:hAnsi="CESI仿宋-GB2312" w:eastAsia="CESI仿宋-GB2312" w:cs="CESI仿宋-GB2312"/>
          <w:b w:val="0"/>
          <w:bCs w:val="0"/>
          <w:color w:val="auto"/>
          <w:sz w:val="32"/>
          <w:szCs w:val="32"/>
          <w:highlight w:val="none"/>
          <w:lang w:eastAsia="zh-CN"/>
        </w:rPr>
        <w:t>延续</w:t>
      </w:r>
      <w:r>
        <w:rPr>
          <w:rFonts w:hint="eastAsia" w:ascii="CESI仿宋-GB2312" w:hAnsi="CESI仿宋-GB2312" w:eastAsia="CESI仿宋-GB2312" w:cs="CESI仿宋-GB2312"/>
          <w:b w:val="0"/>
          <w:bCs w:val="0"/>
          <w:color w:val="auto"/>
          <w:sz w:val="32"/>
          <w:szCs w:val="32"/>
          <w:highlight w:val="none"/>
        </w:rPr>
        <w:t>实施失业保险</w:t>
      </w:r>
      <w:r>
        <w:rPr>
          <w:rFonts w:hint="eastAsia" w:ascii="CESI仿宋-GB2312" w:hAnsi="CESI仿宋-GB2312" w:eastAsia="CESI仿宋-GB2312" w:cs="CESI仿宋-GB2312"/>
          <w:b w:val="0"/>
          <w:bCs w:val="0"/>
          <w:color w:val="auto"/>
          <w:sz w:val="32"/>
          <w:szCs w:val="32"/>
          <w:highlight w:val="none"/>
          <w:lang w:eastAsia="zh-CN"/>
        </w:rPr>
        <w:t>稳岗返还政策</w:t>
      </w:r>
      <w:r>
        <w:rPr>
          <w:rFonts w:hint="eastAsia" w:ascii="CESI仿宋-GB2312" w:hAnsi="CESI仿宋-GB2312" w:eastAsia="CESI仿宋-GB2312" w:cs="CESI仿宋-GB2312"/>
          <w:b w:val="0"/>
          <w:bCs w:val="0"/>
          <w:color w:val="auto"/>
          <w:sz w:val="32"/>
          <w:szCs w:val="32"/>
          <w:highlight w:val="none"/>
        </w:rPr>
        <w:t>，企业划型参照2020年社保减免政策执行。</w:t>
      </w:r>
      <w:r>
        <w:rPr>
          <w:rFonts w:hint="eastAsia" w:ascii="CESI仿宋-GB2312" w:hAnsi="CESI仿宋-GB2312" w:eastAsia="CESI仿宋-GB2312" w:cs="CESI仿宋-GB2312"/>
          <w:b w:val="0"/>
          <w:bCs w:val="0"/>
          <w:color w:val="auto"/>
          <w:sz w:val="32"/>
          <w:szCs w:val="32"/>
          <w:highlight w:val="none"/>
          <w:lang w:eastAsia="zh-CN"/>
        </w:rPr>
        <w:t>按规定继续落实税收优惠、社保补贴、技能提升补贴、扩岗补助等政策，</w:t>
      </w:r>
      <w:r>
        <w:rPr>
          <w:rFonts w:hint="eastAsia" w:ascii="CESI仿宋-GB2312" w:hAnsi="CESI仿宋-GB2312" w:eastAsia="CESI仿宋-GB2312" w:cs="CESI仿宋-GB2312"/>
          <w:b w:val="0"/>
          <w:bCs w:val="0"/>
          <w:color w:val="auto"/>
          <w:sz w:val="32"/>
          <w:szCs w:val="32"/>
          <w:highlight w:val="none"/>
        </w:rPr>
        <w:t>推行“免申即享”“直补快办”模式，</w:t>
      </w:r>
      <w:r>
        <w:rPr>
          <w:rFonts w:hint="eastAsia" w:ascii="CESI仿宋-GB2312" w:hAnsi="CESI仿宋-GB2312" w:eastAsia="CESI仿宋-GB2312" w:cs="CESI仿宋-GB2312"/>
          <w:b w:val="0"/>
          <w:bCs w:val="0"/>
          <w:color w:val="auto"/>
          <w:sz w:val="32"/>
          <w:szCs w:val="32"/>
          <w:highlight w:val="none"/>
          <w:lang w:eastAsia="zh-CN"/>
        </w:rPr>
        <w:t>逐步</w:t>
      </w:r>
      <w:r>
        <w:rPr>
          <w:rFonts w:hint="eastAsia" w:ascii="CESI仿宋-GB2312" w:hAnsi="CESI仿宋-GB2312" w:eastAsia="CESI仿宋-GB2312" w:cs="CESI仿宋-GB2312"/>
          <w:b w:val="0"/>
          <w:bCs w:val="0"/>
          <w:color w:val="auto"/>
          <w:sz w:val="32"/>
          <w:szCs w:val="32"/>
          <w:highlight w:val="none"/>
        </w:rPr>
        <w:t>建立政策享受企业跟踪评估机制，确保资金精准使用。</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责任单位：市人社局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财政局、</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税务局</w:t>
      </w:r>
      <w:r>
        <w:rPr>
          <w:rFonts w:hint="eastAsia" w:ascii="楷体_GB2312" w:hAnsi="楷体_GB2312" w:eastAsia="楷体_GB2312" w:cs="楷体_GB2312"/>
          <w:b w:val="0"/>
          <w:bCs w:val="0"/>
          <w:color w:val="auto"/>
          <w:sz w:val="32"/>
          <w:szCs w:val="32"/>
          <w:highlight w:val="none"/>
          <w:lang w:eastAsia="zh-CN"/>
        </w:rPr>
        <w:t>、各旗区人民政府，以下工作任务均需各旗区落实，不再列出</w:t>
      </w:r>
      <w:r>
        <w:rPr>
          <w:rFonts w:hint="eastAsia" w:ascii="楷体_GB2312" w:hAnsi="楷体_GB2312" w:eastAsia="楷体_GB2312" w:cs="楷体_GB2312"/>
          <w:b w:val="0"/>
          <w:bCs w:val="0"/>
          <w:color w:val="auto"/>
          <w:sz w:val="32"/>
          <w:szCs w:val="32"/>
          <w:highlight w:val="none"/>
        </w:rPr>
        <w:t>)</w:t>
      </w:r>
    </w:p>
    <w:p w14:paraId="19714EA6">
      <w:pPr>
        <w:pStyle w:val="23"/>
        <w:keepNext w:val="0"/>
        <w:keepLines w:val="0"/>
        <w:pageBreakBefore w:val="0"/>
        <w:widowControl/>
        <w:numPr>
          <w:ilvl w:val="0"/>
          <w:numId w:val="0"/>
        </w:numPr>
        <w:kinsoku/>
        <w:wordWrap/>
        <w:overflowPunct/>
        <w:topLinePunct w:val="0"/>
        <w:autoSpaceDE/>
        <w:autoSpaceDN/>
        <w:bidi w:val="0"/>
        <w:adjustRightInd/>
        <w:snapToGrid w:val="0"/>
        <w:spacing w:before="0" w:after="0" w:line="579" w:lineRule="exact"/>
        <w:ind w:left="0" w:leftChars="0" w:firstLine="641" w:firstLineChars="200"/>
        <w:jc w:val="both"/>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CESI仿宋-GB2312" w:hAnsi="CESI仿宋-GB2312" w:eastAsia="CESI仿宋-GB2312" w:cs="CESI仿宋-GB2312"/>
          <w:b/>
          <w:bCs/>
          <w:color w:val="auto"/>
          <w:sz w:val="32"/>
          <w:szCs w:val="32"/>
          <w:highlight w:val="none"/>
          <w:lang w:val="en-US" w:eastAsia="zh-CN"/>
        </w:rPr>
        <w:t>2.稳定劳动密集型和受外部环境影响行业就业规模。</w:t>
      </w:r>
      <w:r>
        <w:rPr>
          <w:rFonts w:hint="eastAsia" w:ascii="CESI仿宋-GB2312" w:hAnsi="CESI仿宋-GB2312" w:eastAsia="CESI仿宋-GB2312" w:cs="CESI仿宋-GB2312"/>
          <w:b w:val="0"/>
          <w:bCs w:val="0"/>
          <w:color w:val="auto"/>
          <w:sz w:val="32"/>
          <w:szCs w:val="32"/>
          <w:highlight w:val="none"/>
          <w:lang w:val="en-US" w:eastAsia="zh-CN"/>
        </w:rPr>
        <w:t>实施制造业重点产业链高质量发展行动，扩增规模以上工业企业数量，打造一批“准500强”和专精特新“小巨人”企业，培育一批独角兽、瞪羚、单项冠军企业，在稳定制造业规模中吸纳更多劳动者就业创业。统筹实施一批民生领域、安全领域、发展领域城市更新工程，有序推进新型城市基础设施建设和“好房子”建设，积极打造具有地方特色的民宿及餐饮品牌，全力挖潜传统建筑和住宿餐饮行业就业空间。积极应对外部挑战，支持加工贸易、保税物流、跨境电商等外贸企业发展，深度融入共建“一带一路”和中蒙俄经济走廊建设，在高质量对外开放中挖掘更多就业机会。</w:t>
      </w:r>
      <w:r>
        <w:rPr>
          <w:rFonts w:hint="eastAsia" w:ascii="楷体_GB2312" w:hAnsi="楷体_GB2312" w:eastAsia="楷体_GB2312" w:cs="楷体_GB2312"/>
          <w:b w:val="0"/>
          <w:bCs w:val="0"/>
          <w:color w:val="auto"/>
          <w:sz w:val="32"/>
          <w:szCs w:val="32"/>
          <w:highlight w:val="none"/>
          <w:lang w:val="en-US" w:eastAsia="zh-CN"/>
        </w:rPr>
        <w:t>(市工信局，市商务局，市住建局，市文旅局、市发改委)</w:t>
      </w:r>
    </w:p>
    <w:p w14:paraId="34E9F652">
      <w:pPr>
        <w:pStyle w:val="23"/>
        <w:keepNext w:val="0"/>
        <w:keepLines w:val="0"/>
        <w:pageBreakBefore w:val="0"/>
        <w:numPr>
          <w:ilvl w:val="0"/>
          <w:numId w:val="0"/>
        </w:numPr>
        <w:kinsoku/>
        <w:wordWrap/>
        <w:overflowPunct/>
        <w:topLinePunct w:val="0"/>
        <w:autoSpaceDE/>
        <w:autoSpaceDN/>
        <w:bidi w:val="0"/>
        <w:adjustRightInd/>
        <w:snapToGrid w:val="0"/>
        <w:spacing w:before="0" w:after="0" w:line="579" w:lineRule="exact"/>
        <w:ind w:left="0" w:leftChars="0" w:firstLine="641" w:firstLineChars="200"/>
        <w:jc w:val="both"/>
        <w:textAlignment w:val="auto"/>
        <w:outlineLvl w:val="9"/>
        <w:rPr>
          <w:rFonts w:hint="eastAsia" w:ascii="楷体_GB2312" w:hAnsi="楷体_GB2312" w:eastAsia="楷体_GB2312" w:cs="楷体_GB2312"/>
          <w:b w:val="0"/>
          <w:bCs w:val="0"/>
          <w:color w:val="auto"/>
          <w:sz w:val="32"/>
          <w:szCs w:val="32"/>
          <w:highlight w:val="none"/>
          <w:lang w:val="en-US" w:eastAsia="zh-CN"/>
        </w:rPr>
      </w:pPr>
      <w:r>
        <w:rPr>
          <w:rFonts w:hint="eastAsia" w:ascii="CESI仿宋-GB2312" w:hAnsi="CESI仿宋-GB2312" w:eastAsia="CESI仿宋-GB2312" w:cs="CESI仿宋-GB2312"/>
          <w:b/>
          <w:bCs/>
          <w:color w:val="auto"/>
          <w:sz w:val="32"/>
          <w:szCs w:val="32"/>
          <w:highlight w:val="none"/>
          <w:lang w:val="en-US" w:eastAsia="zh-CN"/>
        </w:rPr>
        <w:t>3.多渠道稳定并释放政策性就业岗位。</w:t>
      </w:r>
      <w:r>
        <w:rPr>
          <w:rFonts w:hint="eastAsia" w:ascii="CESI仿宋-GB2312" w:hAnsi="CESI仿宋-GB2312" w:eastAsia="CESI仿宋-GB2312" w:cs="CESI仿宋-GB2312"/>
          <w:b w:val="0"/>
          <w:bCs w:val="0"/>
          <w:color w:val="auto"/>
          <w:sz w:val="32"/>
          <w:szCs w:val="32"/>
          <w:highlight w:val="none"/>
          <w:lang w:val="en-US" w:eastAsia="zh-CN"/>
        </w:rPr>
        <w:t>实施新一轮“三支一扶”“社区民生”“西部志愿”“特岗教师”“乡村医生”等基层服务项目招募工作，储备中小企业人才630人以上，招募科研助理400人；用好用足事业编制资源，统筹安排自治区和市级统一考试时间，给予考生充分选择机会；继续加大公益性岗位开发力度，做好过渡期后衔接保障；开展国有企业“建功产业一线”人才扩岗增招专项行动，延续实施国有企业一次性增人增资政策，将吸纳就业情况作为绩效评估的重要内容，国有企业招聘应届及择业期内高校毕业生比例维持在50%以上。全年释放各类政策性岗位不少于3000个。</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责任单位：市人社局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市委组织部、市卫健委、团市委、市国资委、市科技局</w:t>
      </w:r>
      <w:r>
        <w:rPr>
          <w:rFonts w:hint="eastAsia" w:ascii="楷体_GB2312" w:hAnsi="楷体_GB2312" w:eastAsia="楷体_GB2312" w:cs="楷体_GB2312"/>
          <w:b w:val="0"/>
          <w:bCs w:val="0"/>
          <w:color w:val="auto"/>
          <w:sz w:val="32"/>
          <w:szCs w:val="32"/>
          <w:highlight w:val="none"/>
        </w:rPr>
        <w:t>)</w:t>
      </w:r>
    </w:p>
    <w:p w14:paraId="4592FA3E">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楷体-GB2312" w:hAnsi="CESI楷体-GB2312" w:eastAsia="CESI楷体-GB2312" w:cs="CESI楷体-GB2312"/>
          <w:b w:val="0"/>
          <w:bCs w:val="0"/>
          <w:color w:val="auto"/>
          <w:sz w:val="32"/>
          <w:szCs w:val="32"/>
          <w:highlight w:val="none"/>
        </w:rPr>
      </w:pPr>
      <w:r>
        <w:rPr>
          <w:rFonts w:hint="eastAsia" w:ascii="CESI楷体-GB2312" w:hAnsi="CESI楷体-GB2312" w:eastAsia="CESI楷体-GB2312" w:cs="CESI楷体-GB2312"/>
          <w:b w:val="0"/>
          <w:bCs w:val="0"/>
          <w:color w:val="auto"/>
          <w:sz w:val="32"/>
          <w:szCs w:val="32"/>
          <w:highlight w:val="none"/>
        </w:rPr>
        <w:t>（二）扩大就业容量，拓宽就业新空间</w:t>
      </w:r>
    </w:p>
    <w:p w14:paraId="62AA1D71">
      <w:pPr>
        <w:pStyle w:val="8"/>
        <w:keepNext w:val="0"/>
        <w:keepLines w:val="0"/>
        <w:pageBreakBefore w:val="0"/>
        <w:widowControl w:val="0"/>
        <w:kinsoku/>
        <w:wordWrap/>
        <w:overflowPunct/>
        <w:topLinePunct w:val="0"/>
        <w:autoSpaceDE/>
        <w:autoSpaceDN/>
        <w:bidi w:val="0"/>
        <w:adjustRightInd/>
        <w:snapToGrid w:val="0"/>
        <w:spacing w:line="579" w:lineRule="exact"/>
        <w:ind w:left="0" w:firstLine="641" w:firstLineChars="200"/>
        <w:jc w:val="both"/>
        <w:textAlignment w:val="auto"/>
        <w:outlineLvl w:val="9"/>
        <w:rPr>
          <w:rFonts w:hint="eastAsia" w:ascii="楷体_GB2312" w:hAnsi="楷体_GB2312" w:eastAsia="楷体_GB2312" w:cs="楷体_GB2312"/>
          <w:b w:val="0"/>
          <w:bCs w:val="0"/>
          <w:color w:val="auto"/>
          <w:sz w:val="32"/>
          <w:szCs w:val="32"/>
          <w:highlight w:val="none"/>
          <w:u w:val="none"/>
          <w:lang w:val="en-US" w:eastAsia="zh-CN"/>
        </w:rPr>
      </w:pPr>
      <w:r>
        <w:rPr>
          <w:rFonts w:hint="eastAsia" w:ascii="CESI仿宋-GB2312" w:hAnsi="CESI仿宋-GB2312" w:eastAsia="CESI仿宋-GB2312" w:cs="CESI仿宋-GB2312"/>
          <w:b/>
          <w:bCs/>
          <w:color w:val="auto"/>
          <w:sz w:val="32"/>
          <w:szCs w:val="32"/>
          <w:highlight w:val="none"/>
          <w:u w:val="none"/>
          <w:lang w:val="en-US" w:eastAsia="zh-CN"/>
        </w:rPr>
        <w:t>4.推动产业发展与就业扩容深度协同。</w:t>
      </w:r>
      <w:r>
        <w:rPr>
          <w:rFonts w:hint="eastAsia" w:ascii="CESI仿宋-GB2312" w:hAnsi="CESI仿宋-GB2312" w:eastAsia="CESI仿宋-GB2312" w:cs="CESI仿宋-GB2312"/>
          <w:b w:val="0"/>
          <w:bCs w:val="0"/>
          <w:color w:val="auto"/>
          <w:sz w:val="32"/>
          <w:szCs w:val="32"/>
          <w:highlight w:val="none"/>
          <w:u w:val="none"/>
          <w:lang w:val="en-US" w:eastAsia="zh-CN"/>
        </w:rPr>
        <w:t>充分树立“管行业必须管就业、管项目必须管就业、管招商必须管就业”的大就业观念，建立重点项目、生产力布局就业影响评估机制，发改、工业和信息化、商务等部门在项目落地、招商引资时，同步开展就业影响评估和</w:t>
      </w:r>
      <w:r>
        <w:rPr>
          <w:rFonts w:hint="eastAsia" w:ascii="CESI仿宋-GB2312" w:hAnsi="CESI仿宋-GB2312" w:eastAsia="CESI仿宋-GB2312" w:cs="CESI仿宋-GB2312"/>
          <w:b w:val="0"/>
          <w:bCs w:val="0"/>
          <w:color w:val="auto"/>
          <w:kern w:val="2"/>
          <w:sz w:val="32"/>
          <w:szCs w:val="32"/>
          <w:highlight w:val="none"/>
          <w:lang w:eastAsia="zh-CN" w:bidi="ar-SA"/>
        </w:rPr>
        <w:t>岗位挖潜工作</w:t>
      </w:r>
      <w:r>
        <w:rPr>
          <w:rFonts w:hint="eastAsia" w:ascii="CESI仿宋-GB2312" w:hAnsi="CESI仿宋-GB2312" w:eastAsia="CESI仿宋-GB2312" w:cs="CESI仿宋-GB2312"/>
          <w:b w:val="0"/>
          <w:bCs w:val="0"/>
          <w:color w:val="auto"/>
          <w:sz w:val="32"/>
          <w:szCs w:val="32"/>
          <w:highlight w:val="none"/>
          <w:u w:val="none"/>
          <w:lang w:val="en-US" w:eastAsia="zh-CN"/>
        </w:rPr>
        <w:t>，及时将项目用工业和信息化息推送同级</w:t>
      </w:r>
      <w:r>
        <w:rPr>
          <w:rFonts w:hint="eastAsia" w:ascii="CESI仿宋-GB2312" w:hAnsi="CESI仿宋-GB2312" w:eastAsia="CESI仿宋-GB2312" w:cs="CESI仿宋-GB2312"/>
          <w:b w:val="0"/>
          <w:bCs w:val="0"/>
          <w:color w:val="auto"/>
          <w:kern w:val="2"/>
          <w:sz w:val="32"/>
          <w:szCs w:val="32"/>
          <w:highlight w:val="none"/>
          <w:lang w:eastAsia="zh-CN" w:bidi="ar-SA"/>
        </w:rPr>
        <w:t>人社部门，共同做好企业用工岗位归集发布、技能培训、就业政策兑现等服务，积极引导实施带动就业能力强的产业项目。</w:t>
      </w:r>
      <w:r>
        <w:rPr>
          <w:rFonts w:hint="eastAsia" w:ascii="楷体_GB2312" w:hAnsi="楷体_GB2312" w:eastAsia="楷体_GB2312" w:cs="楷体_GB2312"/>
          <w:b w:val="0"/>
          <w:bCs w:val="0"/>
          <w:color w:val="auto"/>
          <w:kern w:val="2"/>
          <w:sz w:val="32"/>
          <w:szCs w:val="32"/>
          <w:highlight w:val="none"/>
          <w:lang w:eastAsia="zh-CN" w:bidi="ar-SA"/>
        </w:rPr>
        <w:t>（责任单位：市发改委、市工信局、市能源局、市商务局、市人社局）</w:t>
      </w:r>
    </w:p>
    <w:p w14:paraId="2CF934D3">
      <w:pPr>
        <w:keepNext w:val="0"/>
        <w:keepLines w:val="0"/>
        <w:pageBreakBefore w:val="0"/>
        <w:kinsoku/>
        <w:wordWrap/>
        <w:overflowPunct/>
        <w:topLinePunct w:val="0"/>
        <w:autoSpaceDE/>
        <w:autoSpaceDN/>
        <w:bidi w:val="0"/>
        <w:adjustRightInd/>
        <w:spacing w:line="579" w:lineRule="exact"/>
        <w:ind w:firstLine="641" w:firstLineChars="200"/>
        <w:jc w:val="both"/>
        <w:textAlignment w:val="auto"/>
        <w:rPr>
          <w:rFonts w:hint="eastAsia" w:ascii="CESI仿宋-GB2312" w:hAnsi="CESI仿宋-GB2312" w:eastAsia="CESI仿宋-GB2312" w:cs="CESI仿宋-GB2312"/>
          <w:b w:val="0"/>
          <w:bCs w:val="0"/>
          <w:color w:val="auto"/>
          <w:sz w:val="32"/>
          <w:szCs w:val="32"/>
          <w:highlight w:val="none"/>
          <w:u w:val="none"/>
          <w:lang w:val="en-US" w:eastAsia="zh-CN"/>
        </w:rPr>
      </w:pPr>
      <w:r>
        <w:rPr>
          <w:rFonts w:hint="eastAsia" w:ascii="CESI仿宋-GB2312" w:hAnsi="CESI仿宋-GB2312" w:eastAsia="CESI仿宋-GB2312" w:cs="CESI仿宋-GB2312"/>
          <w:b/>
          <w:bCs/>
          <w:color w:val="auto"/>
          <w:sz w:val="32"/>
          <w:szCs w:val="32"/>
          <w:highlight w:val="none"/>
          <w:u w:val="none"/>
          <w:lang w:val="en-US" w:eastAsia="zh-CN"/>
        </w:rPr>
        <w:t>5.依托产业消费升级挖掘市场化岗位。</w:t>
      </w:r>
      <w:r>
        <w:rPr>
          <w:rFonts w:hint="eastAsia" w:ascii="CESI仿宋-GB2312" w:hAnsi="CESI仿宋-GB2312" w:eastAsia="CESI仿宋-GB2312" w:cs="CESI仿宋-GB2312"/>
          <w:b w:val="0"/>
          <w:bCs w:val="0"/>
          <w:color w:val="auto"/>
          <w:sz w:val="32"/>
          <w:szCs w:val="32"/>
          <w:highlight w:val="none"/>
          <w:u w:val="none"/>
          <w:lang w:val="en-US" w:eastAsia="zh-CN"/>
        </w:rPr>
        <w:t>围绕全市重点产业发展、重大项目建设和中小微企业挖掘岗位，聚焦现代能源、现代煤化工、现代装备制造、羊绒产业等产业集群，</w:t>
      </w:r>
      <w:r>
        <w:rPr>
          <w:rFonts w:hint="eastAsia" w:ascii="CESI仿宋-GB2312" w:hAnsi="CESI仿宋-GB2312" w:eastAsia="CESI仿宋-GB2312" w:cs="CESI仿宋-GB2312"/>
          <w:b w:val="0"/>
          <w:bCs w:val="0"/>
          <w:color w:val="auto"/>
          <w:sz w:val="32"/>
          <w:szCs w:val="32"/>
          <w:highlight w:val="none"/>
        </w:rPr>
        <w:t>推动企业扩产增</w:t>
      </w:r>
      <w:r>
        <w:rPr>
          <w:rFonts w:hint="eastAsia" w:ascii="CESI仿宋-GB2312" w:hAnsi="CESI仿宋-GB2312" w:eastAsia="CESI仿宋-GB2312" w:cs="CESI仿宋-GB2312"/>
          <w:b w:val="0"/>
          <w:bCs w:val="0"/>
          <w:color w:val="auto"/>
          <w:sz w:val="32"/>
          <w:szCs w:val="32"/>
          <w:highlight w:val="none"/>
          <w:lang w:eastAsia="zh-CN"/>
        </w:rPr>
        <w:t>岗；</w:t>
      </w:r>
      <w:r>
        <w:rPr>
          <w:rFonts w:hint="eastAsia" w:ascii="CESI仿宋-GB2312" w:hAnsi="CESI仿宋-GB2312" w:eastAsia="CESI仿宋-GB2312" w:cs="CESI仿宋-GB2312"/>
          <w:b w:val="0"/>
          <w:bCs w:val="0"/>
          <w:color w:val="auto"/>
          <w:sz w:val="32"/>
          <w:szCs w:val="32"/>
          <w:highlight w:val="none"/>
          <w:u w:val="none"/>
          <w:lang w:val="en-US" w:eastAsia="zh-CN"/>
        </w:rPr>
        <w:t>加快发展新质生产力，带动创造先进煤化工、低空经济、人工智能、算力、新型储能、新材料、再生资源回收利用等领域新职业新岗位；围绕文化和旅游融合、电商直播、康养托育，特别是“一老一小”等消费新场景，开辟就业新空间。全年力争通过多种渠道挖掘发布市场化岗位3万个以上。</w:t>
      </w:r>
      <w:r>
        <w:rPr>
          <w:rFonts w:hint="eastAsia" w:ascii="楷体_GB2312" w:hAnsi="楷体_GB2312" w:eastAsia="楷体_GB2312" w:cs="楷体_GB2312"/>
          <w:b w:val="0"/>
          <w:bCs w:val="0"/>
          <w:color w:val="auto"/>
          <w:sz w:val="32"/>
          <w:szCs w:val="32"/>
          <w:highlight w:val="none"/>
          <w:u w:val="none"/>
          <w:lang w:val="en-US" w:eastAsia="zh-CN"/>
        </w:rPr>
        <w:t>（责任单位：</w:t>
      </w:r>
      <w:r>
        <w:rPr>
          <w:rFonts w:hint="eastAsia" w:ascii="楷体_GB2312" w:hAnsi="楷体_GB2312" w:eastAsia="楷体_GB2312" w:cs="楷体_GB2312"/>
          <w:b w:val="0"/>
          <w:bCs w:val="0"/>
          <w:color w:val="auto"/>
          <w:sz w:val="32"/>
          <w:szCs w:val="32"/>
          <w:highlight w:val="none"/>
          <w:u w:val="none"/>
          <w:lang w:eastAsia="zh-CN"/>
        </w:rPr>
        <w:t>市发改委、市工信局、市商务局、市民政局、市卫健委、市文旅局、市人社局）</w:t>
      </w:r>
    </w:p>
    <w:p w14:paraId="53286FC5">
      <w:pPr>
        <w:pStyle w:val="8"/>
        <w:keepNext w:val="0"/>
        <w:keepLines w:val="0"/>
        <w:pageBreakBefore w:val="0"/>
        <w:widowControl w:val="0"/>
        <w:kinsoku/>
        <w:wordWrap/>
        <w:overflowPunct/>
        <w:topLinePunct w:val="0"/>
        <w:autoSpaceDE/>
        <w:autoSpaceDN/>
        <w:bidi w:val="0"/>
        <w:adjustRightInd/>
        <w:snapToGrid w:val="0"/>
        <w:spacing w:line="579" w:lineRule="exact"/>
        <w:ind w:left="0" w:firstLine="641" w:firstLineChars="200"/>
        <w:jc w:val="both"/>
        <w:textAlignment w:val="auto"/>
        <w:outlineLvl w:val="9"/>
        <w:rPr>
          <w:rFonts w:hint="eastAsia" w:ascii="楷体_GB2312" w:hAnsi="楷体_GB2312" w:eastAsia="楷体_GB2312" w:cs="楷体_GB2312"/>
          <w:b w:val="0"/>
          <w:bCs w:val="0"/>
          <w:color w:val="auto"/>
          <w:sz w:val="32"/>
          <w:szCs w:val="32"/>
          <w:highlight w:val="none"/>
          <w:u w:val="none"/>
          <w:lang w:val="en-US" w:eastAsia="zh-CN"/>
        </w:rPr>
      </w:pPr>
      <w:r>
        <w:rPr>
          <w:rFonts w:hint="eastAsia" w:ascii="CESI仿宋-GB2312" w:hAnsi="CESI仿宋-GB2312" w:eastAsia="CESI仿宋-GB2312" w:cs="CESI仿宋-GB2312"/>
          <w:b/>
          <w:bCs/>
          <w:color w:val="auto"/>
          <w:sz w:val="32"/>
          <w:szCs w:val="32"/>
          <w:highlight w:val="none"/>
          <w:u w:val="none"/>
          <w:lang w:val="en-US" w:eastAsia="zh-CN"/>
        </w:rPr>
        <w:t>6.扶持各类就业工坊促进就近就地就业。</w:t>
      </w:r>
      <w:r>
        <w:rPr>
          <w:rFonts w:hint="eastAsia" w:ascii="CESI仿宋-GB2312" w:hAnsi="CESI仿宋-GB2312" w:eastAsia="CESI仿宋-GB2312" w:cs="CESI仿宋-GB2312"/>
          <w:b w:val="0"/>
          <w:bCs w:val="0"/>
          <w:color w:val="auto"/>
          <w:sz w:val="32"/>
          <w:szCs w:val="32"/>
          <w:highlight w:val="none"/>
          <w:u w:val="none"/>
          <w:lang w:val="en-US" w:eastAsia="zh-CN"/>
        </w:rPr>
        <w:t>鼓励和支持各类法人主体（包括企业、社会组织、社区等）积极创办和运营社区微工厂、特色小作坊、“妈妈岗”等就业工坊，帮扶重点群体在“家门口”实现就业增收，对吸纳高校毕业生和就业困难人员就业的按规定给予社会保险补贴。对运营状况良好、吸纳就业能力突出、产生积极经济社会效益的运营主体，鼓励各地通过场租减免、以奖代补等方式给予补贴奖励。</w:t>
      </w:r>
      <w:r>
        <w:rPr>
          <w:rFonts w:hint="eastAsia" w:ascii="楷体_GB2312" w:hAnsi="楷体_GB2312" w:eastAsia="楷体_GB2312" w:cs="楷体_GB2312"/>
          <w:b w:val="0"/>
          <w:bCs w:val="0"/>
          <w:color w:val="auto"/>
          <w:sz w:val="32"/>
          <w:szCs w:val="32"/>
          <w:highlight w:val="none"/>
          <w:u w:val="none"/>
          <w:lang w:val="en-US" w:eastAsia="zh-CN"/>
        </w:rPr>
        <w:t>（牵头单位：市人社局；责任单位：市委社会工作部、市市场局、市财政局）</w:t>
      </w:r>
    </w:p>
    <w:p w14:paraId="01498795">
      <w:pPr>
        <w:pStyle w:val="13"/>
        <w:keepNext w:val="0"/>
        <w:keepLines w:val="0"/>
        <w:pageBreakBefore w:val="0"/>
        <w:widowControl/>
        <w:numPr>
          <w:ilvl w:val="0"/>
          <w:numId w:val="0"/>
        </w:numPr>
        <w:suppressLineNumbers w:val="0"/>
        <w:kinsoku/>
        <w:wordWrap/>
        <w:overflowPunct/>
        <w:topLinePunct w:val="0"/>
        <w:autoSpaceDE/>
        <w:autoSpaceDN/>
        <w:bidi w:val="0"/>
        <w:adjustRightInd/>
        <w:snapToGrid w:val="0"/>
        <w:spacing w:line="579" w:lineRule="exact"/>
        <w:ind w:left="0" w:firstLine="641" w:firstLineChars="200"/>
        <w:jc w:val="both"/>
        <w:textAlignment w:val="auto"/>
        <w:outlineLvl w:val="9"/>
        <w:rPr>
          <w:rFonts w:hint="eastAsia" w:ascii="CESI仿宋-GB2312" w:hAnsi="CESI仿宋-GB2312" w:eastAsia="CESI仿宋-GB2312" w:cs="CESI仿宋-GB2312"/>
          <w:b w:val="0"/>
          <w:bCs w:val="0"/>
          <w:color w:val="auto"/>
          <w:sz w:val="32"/>
          <w:szCs w:val="32"/>
          <w:highlight w:val="none"/>
          <w:u w:val="none"/>
          <w:lang w:val="en-US" w:eastAsia="zh-CN"/>
        </w:rPr>
      </w:pPr>
      <w:r>
        <w:rPr>
          <w:rFonts w:hint="eastAsia" w:ascii="CESI仿宋-GB2312" w:hAnsi="CESI仿宋-GB2312" w:eastAsia="CESI仿宋-GB2312" w:cs="CESI仿宋-GB2312"/>
          <w:b/>
          <w:bCs/>
          <w:color w:val="auto"/>
          <w:sz w:val="32"/>
          <w:szCs w:val="32"/>
          <w:highlight w:val="none"/>
          <w:u w:val="none"/>
          <w:lang w:val="en-US" w:eastAsia="zh-CN"/>
        </w:rPr>
        <w:t>7.规范发展地摊经济帮扶困难群体创业</w:t>
      </w:r>
      <w:r>
        <w:rPr>
          <w:rFonts w:hint="eastAsia" w:ascii="CESI仿宋-GB2312" w:hAnsi="CESI仿宋-GB2312" w:eastAsia="CESI仿宋-GB2312" w:cs="CESI仿宋-GB2312"/>
          <w:b/>
          <w:bCs/>
          <w:color w:val="auto"/>
          <w:spacing w:val="6"/>
          <w:sz w:val="32"/>
          <w:szCs w:val="32"/>
          <w:highlight w:val="none"/>
          <w:u w:val="none"/>
          <w:lang w:val="en-US" w:eastAsia="zh-CN"/>
        </w:rPr>
        <w:t>。</w:t>
      </w:r>
      <w:r>
        <w:rPr>
          <w:rFonts w:hint="eastAsia" w:ascii="CESI仿宋-GB2312" w:hAnsi="CESI仿宋-GB2312" w:eastAsia="CESI仿宋-GB2312" w:cs="CESI仿宋-GB2312"/>
          <w:b w:val="0"/>
          <w:bCs w:val="0"/>
          <w:color w:val="auto"/>
          <w:spacing w:val="6"/>
          <w:sz w:val="32"/>
          <w:szCs w:val="32"/>
          <w:highlight w:val="none"/>
          <w:u w:val="none"/>
          <w:lang w:val="en-US" w:eastAsia="zh-CN"/>
        </w:rPr>
        <w:t>加强规划引导与区域设置，因地制宜利用商业街区、广场、闲置空地、小微公共空间科学规划建设早、夜市、文创生活用品集市，引导流动商贩、就业困难人员到设定的疏导点内规范经营，通过政府补贴为就业困难人员（如残疾人、低保户、长期失业者等）提供低成本场地支持，对于政府参与建设的场地要预留50%的摊位面向就业困难人员、低收入群体免费使用。</w:t>
      </w:r>
      <w:r>
        <w:rPr>
          <w:rFonts w:hint="eastAsia" w:ascii="楷体_GB2312" w:hAnsi="楷体_GB2312" w:eastAsia="楷体_GB2312" w:cs="楷体_GB2312"/>
          <w:b w:val="0"/>
          <w:bCs w:val="0"/>
          <w:color w:val="auto"/>
          <w:sz w:val="32"/>
          <w:szCs w:val="32"/>
          <w:highlight w:val="none"/>
          <w:u w:val="none"/>
          <w:lang w:val="en-US" w:eastAsia="zh-CN"/>
        </w:rPr>
        <w:t>（</w:t>
      </w:r>
      <w:r>
        <w:rPr>
          <w:rFonts w:hint="eastAsia" w:ascii="楷体_GB2312" w:hAnsi="楷体_GB2312" w:eastAsia="楷体_GB2312" w:cs="楷体_GB2312"/>
          <w:b w:val="0"/>
          <w:bCs w:val="0"/>
          <w:color w:val="auto"/>
          <w:sz w:val="32"/>
          <w:szCs w:val="32"/>
          <w:highlight w:val="none"/>
          <w:u w:val="none"/>
          <w:lang w:eastAsia="zh-CN"/>
        </w:rPr>
        <w:t>牵头单位：</w:t>
      </w:r>
      <w:r>
        <w:rPr>
          <w:rFonts w:hint="eastAsia" w:ascii="楷体_GB2312" w:hAnsi="楷体_GB2312" w:eastAsia="楷体_GB2312" w:cs="楷体_GB2312"/>
          <w:b w:val="0"/>
          <w:bCs w:val="0"/>
          <w:color w:val="auto"/>
          <w:sz w:val="32"/>
          <w:szCs w:val="32"/>
          <w:highlight w:val="none"/>
          <w:u w:val="none"/>
          <w:lang w:val="en-US" w:eastAsia="zh-CN"/>
        </w:rPr>
        <w:t>市住建局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color w:val="auto"/>
          <w:sz w:val="32"/>
          <w:szCs w:val="32"/>
          <w:highlight w:val="none"/>
          <w:u w:val="none"/>
          <w:lang w:val="en-US" w:eastAsia="zh-CN"/>
        </w:rPr>
        <w:t>责任单位:市自然资源局、市商务局、市文旅局、市人社局、市市场局）</w:t>
      </w:r>
    </w:p>
    <w:p w14:paraId="2ED66085">
      <w:pPr>
        <w:keepNext w:val="0"/>
        <w:keepLines w:val="0"/>
        <w:pageBreakBefore w:val="0"/>
        <w:widowControl/>
        <w:suppressLineNumbers w:val="0"/>
        <w:kinsoku/>
        <w:wordWrap/>
        <w:overflowPunct/>
        <w:topLinePunct w:val="0"/>
        <w:autoSpaceDE/>
        <w:autoSpaceDN/>
        <w:bidi w:val="0"/>
        <w:adjustRightInd/>
        <w:snapToGrid w:val="0"/>
        <w:spacing w:line="579" w:lineRule="exact"/>
        <w:ind w:left="0" w:firstLine="641" w:firstLineChars="200"/>
        <w:jc w:val="both"/>
        <w:textAlignment w:val="auto"/>
        <w:outlineLvl w:val="9"/>
        <w:rPr>
          <w:rFonts w:hint="eastAsia" w:ascii="楷体_GB2312" w:hAnsi="楷体_GB2312" w:eastAsia="楷体_GB2312" w:cs="楷体_GB2312"/>
          <w:b w:val="0"/>
          <w:bCs w:val="0"/>
          <w:color w:val="auto"/>
          <w:sz w:val="32"/>
          <w:szCs w:val="32"/>
          <w:highlight w:val="none"/>
        </w:rPr>
      </w:pPr>
      <w:r>
        <w:rPr>
          <w:rFonts w:hint="eastAsia" w:ascii="CESI仿宋-GB2312" w:hAnsi="CESI仿宋-GB2312" w:eastAsia="CESI仿宋-GB2312" w:cs="CESI仿宋-GB2312"/>
          <w:b/>
          <w:bCs/>
          <w:color w:val="auto"/>
          <w:sz w:val="32"/>
          <w:szCs w:val="32"/>
          <w:highlight w:val="none"/>
          <w:u w:val="none"/>
          <w:lang w:val="en-US" w:eastAsia="zh-CN"/>
        </w:rPr>
        <w:t>8.强化创业服务释放创业带动就业效应。</w:t>
      </w:r>
      <w:r>
        <w:rPr>
          <w:rFonts w:hint="eastAsia" w:ascii="CESI仿宋-GB2312" w:hAnsi="CESI仿宋-GB2312" w:eastAsia="CESI仿宋-GB2312" w:cs="CESI仿宋-GB2312"/>
          <w:b w:val="0"/>
          <w:bCs w:val="0"/>
          <w:i w:val="0"/>
          <w:iCs w:val="0"/>
          <w:caps w:val="0"/>
          <w:color w:val="auto"/>
          <w:spacing w:val="0"/>
          <w:kern w:val="0"/>
          <w:sz w:val="32"/>
          <w:szCs w:val="32"/>
          <w:highlight w:val="none"/>
          <w:shd w:val="clear" w:fill="FFFFFF"/>
          <w:lang w:val="en-US" w:eastAsia="zh-CN" w:bidi="ar"/>
        </w:rPr>
        <w:t>强化创业模式引领示范，因地制宜推广</w:t>
      </w:r>
      <w:r>
        <w:rPr>
          <w:rFonts w:hint="eastAsia" w:ascii="CESI仿宋-GB2312" w:hAnsi="CESI仿宋-GB2312" w:eastAsia="CESI仿宋-GB2312" w:cs="CESI仿宋-GB2312"/>
          <w:b w:val="0"/>
          <w:bCs w:val="0"/>
          <w:color w:val="auto"/>
          <w:sz w:val="32"/>
          <w:szCs w:val="32"/>
          <w:highlight w:val="none"/>
          <w:u w:val="none"/>
          <w:lang w:val="en-US" w:eastAsia="zh-CN"/>
        </w:rPr>
        <w:t>“科技成果+创业”“产业发展+创业”“职业技能+创业”“民生需求+创业”四种创业模式。</w:t>
      </w:r>
      <w:r>
        <w:rPr>
          <w:rFonts w:hint="eastAsia" w:ascii="CESI仿宋-GB2312" w:hAnsi="CESI仿宋-GB2312" w:eastAsia="CESI仿宋-GB2312" w:cs="CESI仿宋-GB2312"/>
          <w:b w:val="0"/>
          <w:bCs w:val="0"/>
          <w:color w:val="auto"/>
          <w:sz w:val="32"/>
          <w:szCs w:val="32"/>
          <w:highlight w:val="none"/>
        </w:rPr>
        <w:t>实施创业陪跑计划</w:t>
      </w:r>
      <w:r>
        <w:rPr>
          <w:rFonts w:hint="eastAsia" w:ascii="CESI仿宋-GB2312" w:hAnsi="CESI仿宋-GB2312" w:eastAsia="CESI仿宋-GB2312" w:cs="CESI仿宋-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rPr>
        <w:t>广泛征集遴选优质创业项目，开展跟踪陪跑服务，组建由创业导师、行业专家、金融顾问组成的服务团队，提供项目打磨、市场拓展、资金对接等全流程指导。</w:t>
      </w:r>
      <w:r>
        <w:rPr>
          <w:rFonts w:hint="eastAsia" w:ascii="CESI仿宋-GB2312" w:hAnsi="CESI仿宋-GB2312" w:eastAsia="CESI仿宋-GB2312" w:cs="CESI仿宋-GB2312"/>
          <w:b w:val="0"/>
          <w:bCs w:val="0"/>
          <w:color w:val="auto"/>
          <w:sz w:val="32"/>
          <w:szCs w:val="32"/>
          <w:highlight w:val="none"/>
          <w:lang w:val="en-US" w:eastAsia="zh-CN"/>
        </w:rPr>
        <w:t>定期组织线上创业巡诊、线下创业沙龙等活动，邀请本地电商创业达人、直播带货能手开展现场实操教学、直播间跟岗实训，增强创业培训的针对性和实效性。</w:t>
      </w:r>
      <w:r>
        <w:rPr>
          <w:rFonts w:hint="eastAsia" w:ascii="CESI仿宋-GB2312" w:hAnsi="CESI仿宋-GB2312" w:eastAsia="CESI仿宋-GB2312" w:cs="CESI仿宋-GB2312"/>
          <w:b w:val="0"/>
          <w:bCs w:val="0"/>
          <w:color w:val="auto"/>
          <w:sz w:val="32"/>
          <w:szCs w:val="32"/>
          <w:highlight w:val="none"/>
          <w:lang w:eastAsia="zh-CN"/>
        </w:rPr>
        <w:t>加大一次性创业补贴政策落实力度，对于确实带动就业效果明显的创业项目，按规定兑现“</w:t>
      </w:r>
      <w:r>
        <w:rPr>
          <w:rFonts w:hint="eastAsia" w:ascii="CESI仿宋-GB2312" w:hAnsi="CESI仿宋-GB2312" w:eastAsia="CESI仿宋-GB2312" w:cs="CESI仿宋-GB2312"/>
          <w:b w:val="0"/>
          <w:bCs w:val="0"/>
          <w:color w:val="auto"/>
          <w:sz w:val="32"/>
          <w:szCs w:val="32"/>
          <w:highlight w:val="none"/>
          <w:lang w:val="en-US" w:eastAsia="zh-CN"/>
        </w:rPr>
        <w:t>1+2+2</w:t>
      </w:r>
      <w:r>
        <w:rPr>
          <w:rFonts w:hint="eastAsia" w:ascii="CESI仿宋-GB2312" w:hAnsi="CESI仿宋-GB2312" w:eastAsia="CESI仿宋-GB2312" w:cs="CESI仿宋-GB2312"/>
          <w:b w:val="0"/>
          <w:bCs w:val="0"/>
          <w:color w:val="auto"/>
          <w:sz w:val="32"/>
          <w:szCs w:val="32"/>
          <w:highlight w:val="none"/>
          <w:lang w:eastAsia="zh-CN"/>
        </w:rPr>
        <w:t>”至高</w:t>
      </w:r>
      <w:r>
        <w:rPr>
          <w:rFonts w:hint="eastAsia" w:ascii="CESI仿宋-GB2312" w:hAnsi="CESI仿宋-GB2312" w:eastAsia="CESI仿宋-GB2312" w:cs="CESI仿宋-GB2312"/>
          <w:b w:val="0"/>
          <w:bCs w:val="0"/>
          <w:color w:val="auto"/>
          <w:sz w:val="32"/>
          <w:szCs w:val="32"/>
          <w:highlight w:val="none"/>
          <w:lang w:val="en-US" w:eastAsia="zh-CN"/>
        </w:rPr>
        <w:t>5万元的连续补贴资金。</w:t>
      </w:r>
      <w:r>
        <w:rPr>
          <w:rFonts w:hint="eastAsia" w:ascii="楷体_GB2312" w:hAnsi="楷体_GB2312" w:eastAsia="楷体_GB2312" w:cs="楷体_GB2312"/>
          <w:b w:val="0"/>
          <w:bCs w:val="0"/>
          <w:color w:val="auto"/>
          <w:sz w:val="32"/>
          <w:szCs w:val="32"/>
          <w:highlight w:val="none"/>
        </w:rPr>
        <w:t>（责任单位：</w:t>
      </w:r>
      <w:r>
        <w:rPr>
          <w:rFonts w:hint="eastAsia" w:ascii="楷体_GB2312" w:hAnsi="楷体_GB2312" w:eastAsia="楷体_GB2312" w:cs="楷体_GB2312"/>
          <w:b w:val="0"/>
          <w:bCs w:val="0"/>
          <w:color w:val="auto"/>
          <w:sz w:val="32"/>
          <w:szCs w:val="32"/>
          <w:highlight w:val="none"/>
          <w:lang w:eastAsia="zh-CN"/>
        </w:rPr>
        <w:t>市人社局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市教体局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市科技局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农牧</w:t>
      </w:r>
      <w:r>
        <w:rPr>
          <w:rFonts w:hint="eastAsia" w:ascii="楷体_GB2312" w:hAnsi="楷体_GB2312" w:eastAsia="楷体_GB2312" w:cs="楷体_GB2312"/>
          <w:b w:val="0"/>
          <w:bCs w:val="0"/>
          <w:color w:val="auto"/>
          <w:sz w:val="32"/>
          <w:szCs w:val="32"/>
          <w:highlight w:val="none"/>
          <w:lang w:eastAsia="zh-CN"/>
        </w:rPr>
        <w:t>局</w:t>
      </w:r>
      <w:r>
        <w:rPr>
          <w:rFonts w:hint="eastAsia" w:ascii="楷体_GB2312" w:hAnsi="楷体_GB2312" w:eastAsia="楷体_GB2312" w:cs="楷体_GB2312"/>
          <w:b w:val="0"/>
          <w:bCs w:val="0"/>
          <w:color w:val="auto"/>
          <w:sz w:val="32"/>
          <w:szCs w:val="32"/>
          <w:highlight w:val="none"/>
        </w:rPr>
        <w:t>、</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退役军人事务</w:t>
      </w:r>
      <w:r>
        <w:rPr>
          <w:rFonts w:hint="eastAsia" w:ascii="楷体_GB2312" w:hAnsi="楷体_GB2312" w:eastAsia="楷体_GB2312" w:cs="楷体_GB2312"/>
          <w:b w:val="0"/>
          <w:bCs w:val="0"/>
          <w:color w:val="auto"/>
          <w:sz w:val="32"/>
          <w:szCs w:val="32"/>
          <w:highlight w:val="none"/>
          <w:lang w:eastAsia="zh-CN"/>
        </w:rPr>
        <w:t>局</w:t>
      </w:r>
      <w:r>
        <w:rPr>
          <w:rFonts w:hint="eastAsia" w:ascii="楷体_GB2312" w:hAnsi="楷体_GB2312" w:eastAsia="楷体_GB2312" w:cs="楷体_GB2312"/>
          <w:b w:val="0"/>
          <w:bCs w:val="0"/>
          <w:color w:val="auto"/>
          <w:sz w:val="32"/>
          <w:szCs w:val="32"/>
          <w:highlight w:val="none"/>
        </w:rPr>
        <w:t>、团</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委、</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妇联、</w:t>
      </w:r>
      <w:r>
        <w:rPr>
          <w:rFonts w:hint="eastAsia" w:ascii="楷体_GB2312" w:hAnsi="楷体_GB2312" w:eastAsia="楷体_GB2312" w:cs="楷体_GB2312"/>
          <w:b w:val="0"/>
          <w:bCs w:val="0"/>
          <w:color w:val="auto"/>
          <w:sz w:val="32"/>
          <w:szCs w:val="32"/>
          <w:highlight w:val="none"/>
          <w:lang w:eastAsia="zh-CN"/>
        </w:rPr>
        <w:t>市</w:t>
      </w:r>
      <w:r>
        <w:rPr>
          <w:rFonts w:hint="eastAsia" w:ascii="楷体_GB2312" w:hAnsi="楷体_GB2312" w:eastAsia="楷体_GB2312" w:cs="楷体_GB2312"/>
          <w:b w:val="0"/>
          <w:bCs w:val="0"/>
          <w:color w:val="auto"/>
          <w:sz w:val="32"/>
          <w:szCs w:val="32"/>
          <w:highlight w:val="none"/>
        </w:rPr>
        <w:t>总工会）</w:t>
      </w:r>
    </w:p>
    <w:p w14:paraId="6799F751">
      <w:pPr>
        <w:keepNext w:val="0"/>
        <w:keepLines w:val="0"/>
        <w:pageBreakBefore w:val="0"/>
        <w:widowControl/>
        <w:suppressLineNumbers w:val="0"/>
        <w:kinsoku/>
        <w:wordWrap/>
        <w:overflowPunct/>
        <w:topLinePunct w:val="0"/>
        <w:autoSpaceDE/>
        <w:autoSpaceDN/>
        <w:bidi w:val="0"/>
        <w:adjustRightInd/>
        <w:snapToGrid w:val="0"/>
        <w:spacing w:line="579" w:lineRule="exact"/>
        <w:ind w:left="0" w:firstLine="643" w:firstLineChars="200"/>
        <w:jc w:val="both"/>
        <w:textAlignment w:val="auto"/>
        <w:outlineLvl w:val="9"/>
        <w:rPr>
          <w:rFonts w:hint="default" w:ascii="CESI仿宋-GB2312" w:hAnsi="CESI仿宋-GB2312" w:eastAsia="CESI仿宋-GB2312" w:cs="CESI仿宋-GB2312"/>
          <w:b w:val="0"/>
          <w:bCs w:val="0"/>
          <w:color w:val="auto"/>
          <w:sz w:val="32"/>
          <w:szCs w:val="32"/>
          <w:highlight w:val="none"/>
          <w:lang w:val="en-US" w:eastAsia="zh-CN"/>
        </w:rPr>
      </w:pPr>
      <w:r>
        <w:rPr>
          <w:rFonts w:hint="eastAsia" w:ascii="楷体_GB2312" w:hAnsi="楷体_GB2312" w:eastAsia="楷体_GB2312" w:cs="楷体_GB2312"/>
          <w:b/>
          <w:bCs/>
          <w:color w:val="auto"/>
          <w:sz w:val="32"/>
          <w:szCs w:val="32"/>
          <w:highlight w:val="none"/>
          <w:lang w:val="en-US" w:eastAsia="zh-CN"/>
        </w:rPr>
        <w:t>9.</w:t>
      </w:r>
      <w:r>
        <w:rPr>
          <w:rFonts w:hint="eastAsia" w:ascii="CESI仿宋-GB2312" w:hAnsi="CESI仿宋-GB2312" w:eastAsia="CESI仿宋-GB2312" w:cs="CESI仿宋-GB2312"/>
          <w:b/>
          <w:bCs/>
          <w:color w:val="auto"/>
          <w:sz w:val="32"/>
          <w:szCs w:val="32"/>
          <w:highlight w:val="none"/>
          <w:lang w:val="en-US" w:eastAsia="zh-CN"/>
        </w:rPr>
        <w:t>推广以工代赈吸纳本地劳动力就业。</w:t>
      </w:r>
      <w:r>
        <w:rPr>
          <w:rFonts w:hint="eastAsia" w:ascii="CESI仿宋-GB2312" w:hAnsi="CESI仿宋-GB2312" w:eastAsia="CESI仿宋-GB2312" w:cs="CESI仿宋-GB2312"/>
          <w:b w:val="0"/>
          <w:bCs w:val="0"/>
          <w:color w:val="auto"/>
          <w:sz w:val="32"/>
          <w:szCs w:val="32"/>
          <w:highlight w:val="none"/>
          <w:lang w:val="en-US" w:eastAsia="zh-CN"/>
        </w:rPr>
        <w:t>充分发挥各类财政资金带动作用，持续在“三北”工程、市政基础设施工程、高标准农田建设等政府投资重点工程项目中实施以工代赈，在农业农村牧区基础设施建设中小工程项目大力推广以工代赈方式。建立部门联动机制，项目主管部门及时向人社部门推送开工及用工业和信息化息，人社部门会同实施单位做好用工服务保障，梳理岗位需求，强化劳务协作，吸纳更多本地劳动力就业。支持基层创新劳务组织形式，组建农牧民施工队、劳务合作社等，引导农牧民和脱贫人口参与项目建设，实现项目增效、就业扩容、群众增收多赢。</w:t>
      </w:r>
      <w:r>
        <w:rPr>
          <w:rFonts w:hint="eastAsia" w:ascii="楷体_GB2312" w:hAnsi="楷体_GB2312" w:eastAsia="楷体_GB2312" w:cs="楷体_GB2312"/>
          <w:b w:val="0"/>
          <w:bCs w:val="0"/>
          <w:color w:val="auto"/>
          <w:sz w:val="32"/>
          <w:szCs w:val="32"/>
          <w:highlight w:val="none"/>
        </w:rPr>
        <w:t>（责任单位：</w:t>
      </w:r>
      <w:r>
        <w:rPr>
          <w:rFonts w:hint="eastAsia" w:ascii="楷体_GB2312" w:hAnsi="楷体_GB2312" w:eastAsia="楷体_GB2312" w:cs="楷体_GB2312"/>
          <w:b w:val="0"/>
          <w:bCs w:val="0"/>
          <w:color w:val="auto"/>
          <w:sz w:val="32"/>
          <w:szCs w:val="32"/>
          <w:highlight w:val="none"/>
          <w:lang w:eastAsia="zh-CN"/>
        </w:rPr>
        <w:t>市发改委、市农牧局、市林草局、市交通局、市水利局、市人社局</w:t>
      </w:r>
      <w:r>
        <w:rPr>
          <w:rFonts w:hint="eastAsia" w:ascii="楷体_GB2312" w:hAnsi="楷体_GB2312" w:eastAsia="楷体_GB2312" w:cs="楷体_GB2312"/>
          <w:b w:val="0"/>
          <w:bCs w:val="0"/>
          <w:color w:val="auto"/>
          <w:sz w:val="32"/>
          <w:szCs w:val="32"/>
          <w:highlight w:val="none"/>
        </w:rPr>
        <w:t>）</w:t>
      </w:r>
    </w:p>
    <w:p w14:paraId="3C526562">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楷体-GB2312" w:hAnsi="CESI楷体-GB2312" w:eastAsia="CESI楷体-GB2312" w:cs="CESI楷体-GB2312"/>
          <w:b w:val="0"/>
          <w:bCs w:val="0"/>
          <w:color w:val="auto"/>
          <w:sz w:val="32"/>
          <w:szCs w:val="32"/>
          <w:highlight w:val="none"/>
        </w:rPr>
      </w:pPr>
      <w:r>
        <w:rPr>
          <w:rFonts w:hint="eastAsia" w:ascii="CESI楷体-GB2312" w:hAnsi="CESI楷体-GB2312" w:eastAsia="CESI楷体-GB2312" w:cs="CESI楷体-GB2312"/>
          <w:b w:val="0"/>
          <w:bCs w:val="0"/>
          <w:color w:val="auto"/>
          <w:sz w:val="32"/>
          <w:szCs w:val="32"/>
          <w:highlight w:val="none"/>
          <w:lang w:eastAsia="zh-CN"/>
        </w:rPr>
        <w:t>（三）</w:t>
      </w:r>
      <w:r>
        <w:rPr>
          <w:rFonts w:hint="eastAsia" w:ascii="CESI楷体-GB2312" w:hAnsi="CESI楷体-GB2312" w:eastAsia="CESI楷体-GB2312" w:cs="CESI楷体-GB2312"/>
          <w:b w:val="0"/>
          <w:bCs w:val="0"/>
          <w:color w:val="auto"/>
          <w:sz w:val="32"/>
          <w:szCs w:val="32"/>
          <w:highlight w:val="none"/>
        </w:rPr>
        <w:t>提升就业质量，优化就业</w:t>
      </w:r>
      <w:r>
        <w:rPr>
          <w:rFonts w:hint="eastAsia" w:ascii="CESI楷体-GB2312" w:hAnsi="CESI楷体-GB2312" w:eastAsia="CESI楷体-GB2312" w:cs="CESI楷体-GB2312"/>
          <w:b w:val="0"/>
          <w:bCs w:val="0"/>
          <w:color w:val="auto"/>
          <w:sz w:val="32"/>
          <w:szCs w:val="32"/>
          <w:highlight w:val="none"/>
          <w:lang w:eastAsia="zh-CN"/>
        </w:rPr>
        <w:t>服务链</w:t>
      </w:r>
    </w:p>
    <w:p w14:paraId="5CD5EF69">
      <w:pPr>
        <w:keepNext w:val="0"/>
        <w:keepLines w:val="0"/>
        <w:pageBreakBefore w:val="0"/>
        <w:kinsoku/>
        <w:wordWrap/>
        <w:overflowPunct/>
        <w:topLinePunct w:val="0"/>
        <w:autoSpaceDE/>
        <w:autoSpaceDN/>
        <w:bidi w:val="0"/>
        <w:adjustRightInd/>
        <w:spacing w:line="579" w:lineRule="exact"/>
        <w:ind w:leftChars="0" w:firstLine="641" w:firstLineChars="200"/>
        <w:jc w:val="both"/>
        <w:textAlignment w:val="auto"/>
        <w:rPr>
          <w:rFonts w:hint="eastAsia" w:ascii="CESI仿宋-GB2312" w:hAnsi="CESI仿宋-GB2312" w:eastAsia="CESI仿宋-GB2312" w:cs="CESI仿宋-GB2312"/>
          <w:b w:val="0"/>
          <w:bCs w:val="0"/>
          <w:i w:val="0"/>
          <w:iCs w:val="0"/>
          <w:color w:val="auto"/>
          <w:kern w:val="2"/>
          <w:sz w:val="32"/>
          <w:szCs w:val="32"/>
          <w:highlight w:val="none"/>
          <w:u w:val="none"/>
          <w:vertAlign w:val="baseline"/>
          <w:lang w:val="en-US" w:eastAsia="zh-CN" w:bidi="ar-SA"/>
        </w:rPr>
      </w:pPr>
      <w:r>
        <w:rPr>
          <w:rFonts w:hint="eastAsia" w:ascii="CESI仿宋-GB2312" w:hAnsi="CESI仿宋-GB2312" w:eastAsia="CESI仿宋-GB2312" w:cs="CESI仿宋-GB2312"/>
          <w:b/>
          <w:bCs/>
          <w:color w:val="auto"/>
          <w:sz w:val="32"/>
          <w:szCs w:val="32"/>
          <w:highlight w:val="none"/>
          <w:lang w:val="en-US" w:eastAsia="zh-CN"/>
        </w:rPr>
        <w:t>10.聚焦重点群体开展职业技能补贴培训。</w:t>
      </w:r>
      <w:r>
        <w:rPr>
          <w:rFonts w:hint="eastAsia" w:ascii="CESI仿宋-GB2312" w:hAnsi="CESI仿宋-GB2312" w:eastAsia="CESI仿宋-GB2312" w:cs="CESI仿宋-GB2312"/>
          <w:b w:val="0"/>
          <w:bCs w:val="0"/>
          <w:color w:val="auto"/>
          <w:sz w:val="32"/>
          <w:szCs w:val="32"/>
          <w:highlight w:val="none"/>
        </w:rPr>
        <w:t>聚焦“投资于人”理念，</w:t>
      </w:r>
      <w:r>
        <w:rPr>
          <w:rFonts w:hint="eastAsia" w:ascii="CESI仿宋-GB2312" w:hAnsi="CESI仿宋-GB2312" w:eastAsia="CESI仿宋-GB2312" w:cs="CESI仿宋-GB2312"/>
          <w:b w:val="0"/>
          <w:bCs w:val="0"/>
          <w:color w:val="auto"/>
          <w:sz w:val="32"/>
          <w:szCs w:val="32"/>
          <w:highlight w:val="none"/>
          <w:lang w:eastAsia="zh-CN"/>
        </w:rPr>
        <w:t>启动新一轮</w:t>
      </w:r>
      <w:r>
        <w:rPr>
          <w:rFonts w:hint="eastAsia" w:ascii="CESI仿宋-GB2312" w:hAnsi="CESI仿宋-GB2312" w:eastAsia="CESI仿宋-GB2312" w:cs="CESI仿宋-GB2312"/>
          <w:b w:val="0"/>
          <w:bCs w:val="0"/>
          <w:color w:val="auto"/>
          <w:sz w:val="32"/>
          <w:szCs w:val="32"/>
          <w:highlight w:val="none"/>
        </w:rPr>
        <w:t>“</w:t>
      </w:r>
      <w:r>
        <w:rPr>
          <w:rFonts w:hint="eastAsia" w:ascii="CESI仿宋-GB2312" w:hAnsi="CESI仿宋-GB2312" w:eastAsia="CESI仿宋-GB2312" w:cs="CESI仿宋-GB2312"/>
          <w:b w:val="0"/>
          <w:bCs w:val="0"/>
          <w:color w:val="auto"/>
          <w:sz w:val="32"/>
          <w:szCs w:val="32"/>
          <w:highlight w:val="none"/>
          <w:lang w:eastAsia="zh-CN"/>
        </w:rPr>
        <w:t>技能鄂尔多斯</w:t>
      </w:r>
      <w:r>
        <w:rPr>
          <w:rFonts w:hint="eastAsia" w:ascii="CESI仿宋-GB2312" w:hAnsi="CESI仿宋-GB2312" w:eastAsia="CESI仿宋-GB2312" w:cs="CESI仿宋-GB2312"/>
          <w:b w:val="0"/>
          <w:bCs w:val="0"/>
          <w:color w:val="auto"/>
          <w:sz w:val="32"/>
          <w:szCs w:val="32"/>
          <w:highlight w:val="none"/>
        </w:rPr>
        <w:t>”行动，</w:t>
      </w:r>
      <w:r>
        <w:rPr>
          <w:rFonts w:hint="eastAsia" w:ascii="CESI仿宋-GB2312" w:hAnsi="CESI仿宋-GB2312" w:eastAsia="CESI仿宋-GB2312" w:cs="CESI仿宋-GB2312"/>
          <w:b w:val="0"/>
          <w:bCs w:val="0"/>
          <w:color w:val="auto"/>
          <w:sz w:val="32"/>
          <w:szCs w:val="32"/>
          <w:highlight w:val="none"/>
          <w:lang w:eastAsia="zh-CN"/>
        </w:rPr>
        <w:t>针对先进制造，数字经济，低空经济，交通运输，农牧，生活服务等重点领域，</w:t>
      </w:r>
      <w:r>
        <w:rPr>
          <w:rFonts w:hint="eastAsia" w:ascii="CESI仿宋-GB2312" w:hAnsi="CESI仿宋-GB2312" w:eastAsia="CESI仿宋-GB2312" w:cs="CESI仿宋-GB2312"/>
          <w:b w:val="0"/>
          <w:bCs w:val="0"/>
          <w:color w:val="auto"/>
          <w:sz w:val="32"/>
          <w:szCs w:val="32"/>
          <w:highlight w:val="none"/>
        </w:rPr>
        <w:t>依托各类职业院校（含技工院校）、职业培训机构和符合条件的企业，大规模开展重点行业、重点群体、急需紧缺工种（职业）补贴性培训</w:t>
      </w:r>
      <w:r>
        <w:rPr>
          <w:rFonts w:hint="eastAsia" w:ascii="CESI仿宋-GB2312" w:hAnsi="CESI仿宋-GB2312" w:eastAsia="CESI仿宋-GB2312" w:cs="CESI仿宋-GB2312"/>
          <w:b w:val="0"/>
          <w:bCs w:val="0"/>
          <w:color w:val="auto"/>
          <w:sz w:val="32"/>
          <w:szCs w:val="32"/>
          <w:highlight w:val="none"/>
          <w:lang w:val="en-US" w:eastAsia="zh-CN"/>
        </w:rPr>
        <w:t>1.5万</w:t>
      </w:r>
      <w:r>
        <w:rPr>
          <w:rFonts w:hint="eastAsia" w:ascii="CESI仿宋-GB2312" w:hAnsi="CESI仿宋-GB2312" w:eastAsia="CESI仿宋-GB2312" w:cs="CESI仿宋-GB2312"/>
          <w:b w:val="0"/>
          <w:bCs w:val="0"/>
          <w:color w:val="auto"/>
          <w:sz w:val="32"/>
          <w:szCs w:val="32"/>
          <w:highlight w:val="none"/>
        </w:rPr>
        <w:t>人次以上。</w:t>
      </w:r>
      <w:r>
        <w:rPr>
          <w:rFonts w:hint="eastAsia" w:ascii="CESI仿宋-GB2312" w:hAnsi="CESI仿宋-GB2312" w:eastAsia="CESI仿宋-GB2312" w:cs="CESI仿宋-GB2312"/>
          <w:b w:val="0"/>
          <w:bCs w:val="0"/>
          <w:color w:val="auto"/>
          <w:sz w:val="32"/>
          <w:szCs w:val="32"/>
          <w:highlight w:val="none"/>
          <w:lang w:eastAsia="zh-CN"/>
        </w:rPr>
        <w:t>积极融入全区统一构建的</w:t>
      </w:r>
      <w:r>
        <w:rPr>
          <w:rFonts w:hint="eastAsia" w:ascii="CESI仿宋-GB2312" w:hAnsi="CESI仿宋-GB2312" w:eastAsia="CESI仿宋-GB2312" w:cs="CESI仿宋-GB2312"/>
          <w:b w:val="0"/>
          <w:bCs w:val="0"/>
          <w:color w:val="auto"/>
          <w:sz w:val="32"/>
          <w:szCs w:val="32"/>
          <w:highlight w:val="none"/>
          <w:lang w:val="en-US" w:eastAsia="zh-CN"/>
        </w:rPr>
        <w:t>产教评技能生态链</w:t>
      </w:r>
      <w:r>
        <w:rPr>
          <w:rFonts w:hint="eastAsia" w:ascii="CESI仿宋-GB2312" w:hAnsi="CESI仿宋-GB2312" w:eastAsia="CESI仿宋-GB2312" w:cs="CESI仿宋-GB2312"/>
          <w:b w:val="0"/>
          <w:bCs w:val="0"/>
          <w:color w:val="auto"/>
          <w:sz w:val="32"/>
          <w:szCs w:val="32"/>
          <w:highlight w:val="none"/>
        </w:rPr>
        <w:t>，</w:t>
      </w:r>
      <w:r>
        <w:rPr>
          <w:rFonts w:hint="eastAsia" w:ascii="CESI仿宋-GB2312" w:hAnsi="CESI仿宋-GB2312" w:eastAsia="CESI仿宋-GB2312" w:cs="CESI仿宋-GB2312"/>
          <w:b w:val="0"/>
          <w:bCs w:val="0"/>
          <w:color w:val="auto"/>
          <w:sz w:val="32"/>
          <w:szCs w:val="32"/>
          <w:highlight w:val="none"/>
          <w:lang w:eastAsia="zh-CN"/>
        </w:rPr>
        <w:t>加快</w:t>
      </w:r>
      <w:r>
        <w:rPr>
          <w:rFonts w:hint="eastAsia" w:ascii="CESI仿宋-GB2312" w:hAnsi="CESI仿宋-GB2312" w:eastAsia="CESI仿宋-GB2312" w:cs="CESI仿宋-GB2312"/>
          <w:b w:val="0"/>
          <w:bCs w:val="0"/>
          <w:color w:val="auto"/>
          <w:sz w:val="32"/>
          <w:szCs w:val="32"/>
          <w:highlight w:val="none"/>
        </w:rPr>
        <w:t>培养企业需要的</w:t>
      </w:r>
      <w:r>
        <w:rPr>
          <w:rFonts w:hint="eastAsia" w:ascii="CESI仿宋-GB2312" w:hAnsi="CESI仿宋-GB2312" w:eastAsia="CESI仿宋-GB2312" w:cs="CESI仿宋-GB2312"/>
          <w:b w:val="0"/>
          <w:bCs w:val="0"/>
          <w:color w:val="auto"/>
          <w:sz w:val="32"/>
          <w:szCs w:val="32"/>
          <w:highlight w:val="none"/>
          <w:lang w:eastAsia="zh-CN"/>
        </w:rPr>
        <w:t>产业技术工人，解决</w:t>
      </w:r>
      <w:r>
        <w:rPr>
          <w:rFonts w:hint="eastAsia" w:ascii="CESI仿宋-GB2312" w:hAnsi="CESI仿宋-GB2312" w:eastAsia="CESI仿宋-GB2312" w:cs="CESI仿宋-GB2312"/>
          <w:b w:val="0"/>
          <w:bCs w:val="0"/>
          <w:color w:val="auto"/>
          <w:sz w:val="32"/>
          <w:szCs w:val="32"/>
          <w:highlight w:val="none"/>
        </w:rPr>
        <w:t>面向产业链的技能人才供给</w:t>
      </w:r>
      <w:r>
        <w:rPr>
          <w:rFonts w:hint="eastAsia" w:ascii="CESI仿宋-GB2312" w:hAnsi="CESI仿宋-GB2312" w:eastAsia="CESI仿宋-GB2312" w:cs="CESI仿宋-GB2312"/>
          <w:b w:val="0"/>
          <w:bCs w:val="0"/>
          <w:color w:val="auto"/>
          <w:sz w:val="32"/>
          <w:szCs w:val="32"/>
          <w:highlight w:val="none"/>
          <w:lang w:eastAsia="zh-CN"/>
        </w:rPr>
        <w:t>缺口</w:t>
      </w:r>
      <w:r>
        <w:rPr>
          <w:rFonts w:hint="eastAsia" w:ascii="CESI仿宋-GB2312" w:hAnsi="CESI仿宋-GB2312" w:eastAsia="CESI仿宋-GB2312" w:cs="CESI仿宋-GB2312"/>
          <w:b w:val="0"/>
          <w:bCs w:val="0"/>
          <w:color w:val="auto"/>
          <w:sz w:val="32"/>
          <w:szCs w:val="32"/>
          <w:highlight w:val="none"/>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市财政局、市教体局、市总工会）</w:t>
      </w:r>
    </w:p>
    <w:p w14:paraId="5D2A7CBB">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楷体_GB2312" w:hAnsi="楷体_GB2312" w:eastAsia="楷体_GB2312" w:cs="楷体_GB2312"/>
          <w:b w:val="0"/>
          <w:bCs w:val="0"/>
          <w:color w:val="auto"/>
          <w:sz w:val="32"/>
          <w:szCs w:val="32"/>
          <w:highlight w:val="none"/>
        </w:rPr>
      </w:pPr>
      <w:r>
        <w:rPr>
          <w:rFonts w:hint="eastAsia" w:ascii="CESI仿宋-GB2312" w:hAnsi="CESI仿宋-GB2312" w:eastAsia="CESI仿宋-GB2312" w:cs="CESI仿宋-GB2312"/>
          <w:b/>
          <w:bCs/>
          <w:color w:val="auto"/>
          <w:sz w:val="32"/>
          <w:szCs w:val="32"/>
          <w:highlight w:val="none"/>
          <w:u w:val="none" w:color="auto"/>
          <w:lang w:val="en-US" w:eastAsia="zh-CN"/>
        </w:rPr>
        <w:t>11.</w:t>
      </w:r>
      <w:r>
        <w:rPr>
          <w:rFonts w:hint="eastAsia" w:ascii="CESI仿宋-GB2312" w:hAnsi="CESI仿宋-GB2312" w:eastAsia="CESI仿宋-GB2312" w:cs="CESI仿宋-GB2312"/>
          <w:b/>
          <w:bCs/>
          <w:color w:val="auto"/>
          <w:sz w:val="32"/>
          <w:szCs w:val="32"/>
          <w:highlight w:val="none"/>
          <w:u w:val="none" w:color="auto"/>
          <w:lang w:eastAsia="zh-CN"/>
        </w:rPr>
        <w:t>深化校企协同育人创新学徒培养模式。</w:t>
      </w:r>
      <w:r>
        <w:rPr>
          <w:rFonts w:hint="eastAsia" w:ascii="CESI仿宋-GB2312" w:hAnsi="CESI仿宋-GB2312" w:eastAsia="CESI仿宋-GB2312" w:cs="CESI仿宋-GB2312"/>
          <w:b w:val="0"/>
          <w:bCs w:val="0"/>
          <w:color w:val="auto"/>
          <w:sz w:val="32"/>
          <w:szCs w:val="32"/>
          <w:highlight w:val="none"/>
          <w:u w:val="none" w:color="auto"/>
          <w:lang w:eastAsia="zh-CN"/>
        </w:rPr>
        <w:t>鼓励企业与学校联合，通过招工招生一体、入企入校同步、企校双师联合、工学交替等方式开展企业新型学徒制培训，引导支持企业按需设立学徒岗位，对新招用职工、在岗职工和转岗职工进行学徒培养，实现“招工即招生、入校即入企”、“转岗即能顶岗”。将签订半年以上实习协议的毕业年度高校毕业生(含技工院校高级工班、预备技师班、技师班毕业生)纳入企业新型学徒范围，对毕业后与实习企业签订1年以上劳动合同的，按规定从入职开始予以补贴，实习期计入新型学徒制培训时间。推进高校学生就业能力提升"双千"计划，推动"微专业"课程设置，促进人才培养与产业需求适配。</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市教体局、市属各高校）</w:t>
      </w:r>
    </w:p>
    <w:p w14:paraId="6656CEA3">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CESI仿宋-GB2312" w:hAnsi="CESI仿宋-GB2312" w:eastAsia="CESI仿宋-GB2312" w:cs="CESI仿宋-GB2312"/>
          <w:b w:val="0"/>
          <w:bCs w:val="0"/>
          <w:color w:val="auto"/>
          <w:sz w:val="32"/>
          <w:szCs w:val="32"/>
          <w:highlight w:val="none"/>
          <w:u w:val="none" w:color="auto"/>
          <w:lang w:eastAsia="zh-CN"/>
        </w:rPr>
      </w:pPr>
      <w:r>
        <w:rPr>
          <w:rStyle w:val="18"/>
          <w:rFonts w:hint="eastAsia" w:ascii="CESI仿宋-GB2312" w:hAnsi="CESI仿宋-GB2312" w:eastAsia="CESI仿宋-GB2312" w:cs="CESI仿宋-GB2312"/>
          <w:b/>
          <w:bCs/>
          <w:i w:val="0"/>
          <w:iCs w:val="0"/>
          <w:caps w:val="0"/>
          <w:color w:val="auto"/>
          <w:spacing w:val="0"/>
          <w:sz w:val="32"/>
          <w:szCs w:val="32"/>
          <w:highlight w:val="none"/>
          <w:shd w:val="clear" w:fill="FFFFFF"/>
          <w:lang w:val="en-US" w:eastAsia="zh-CN"/>
        </w:rPr>
        <w:t>12.</w:t>
      </w:r>
      <w:r>
        <w:rPr>
          <w:rStyle w:val="18"/>
          <w:rFonts w:hint="eastAsia" w:ascii="CESI仿宋-GB2312" w:hAnsi="CESI仿宋-GB2312" w:eastAsia="CESI仿宋-GB2312" w:cs="CESI仿宋-GB2312"/>
          <w:b/>
          <w:bCs/>
          <w:i w:val="0"/>
          <w:iCs w:val="0"/>
          <w:caps w:val="0"/>
          <w:color w:val="auto"/>
          <w:spacing w:val="0"/>
          <w:sz w:val="32"/>
          <w:szCs w:val="32"/>
          <w:highlight w:val="none"/>
          <w:shd w:val="clear" w:fill="FFFFFF"/>
          <w:lang w:eastAsia="zh-CN"/>
        </w:rPr>
        <w:t>多举措促进高校毕业生高质量就业</w:t>
      </w:r>
      <w:r>
        <w:rPr>
          <w:rStyle w:val="18"/>
          <w:rFonts w:hint="eastAsia" w:ascii="CESI仿宋-GB2312" w:hAnsi="CESI仿宋-GB2312" w:eastAsia="CESI仿宋-GB2312" w:cs="CESI仿宋-GB2312"/>
          <w:b/>
          <w:bCs/>
          <w:i w:val="0"/>
          <w:iCs w:val="0"/>
          <w:caps w:val="0"/>
          <w:color w:val="auto"/>
          <w:spacing w:val="0"/>
          <w:sz w:val="32"/>
          <w:szCs w:val="32"/>
          <w:highlight w:val="none"/>
          <w:shd w:val="clear" w:fill="FFFFFF"/>
        </w:rPr>
        <w:t>。</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教育、人社部门</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加强</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毕业生信息共享和就业服务协同，</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联合开展“就业公共服务进校园百日行动”，将就业服务</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招聘活动贯穿毕业季、覆盖全学年</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全年组织开展</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各类</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线上线下招聘活动</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rPr>
        <w:t>150场次以上</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实施就业服务攻坚行动，持续跟踪完善离校未就业高校毕业生实名制信息台账，普遍提供“</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val="en-US" w:eastAsia="zh-CN"/>
        </w:rPr>
        <w:t>1131</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”服务。组织</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实施就业见习岗位募集计划，重点面向国有企</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lang w:eastAsia="zh-CN"/>
        </w:rPr>
        <w:t>事业单位</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、民营骨干企业和专精特新企业开发高质量见习岗位，</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rPr>
        <w:t>全年募集见习岗位不少于</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lang w:val="en-US" w:eastAsia="zh-CN"/>
        </w:rPr>
        <w:t>3100</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rPr>
        <w:t>个，组织参加见习不少于</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lang w:val="en-US" w:eastAsia="zh-CN"/>
        </w:rPr>
        <w:t>1200</w:t>
      </w:r>
      <w:r>
        <w:rPr>
          <w:rStyle w:val="18"/>
          <w:rFonts w:hint="eastAsia" w:ascii="CESI仿宋-GB2312" w:hAnsi="CESI仿宋-GB2312" w:eastAsia="CESI仿宋-GB2312" w:cs="CESI仿宋-GB2312"/>
          <w:b w:val="0"/>
          <w:bCs w:val="0"/>
          <w:i w:val="0"/>
          <w:iCs w:val="0"/>
          <w:caps w:val="0"/>
          <w:color w:val="auto"/>
          <w:spacing w:val="0"/>
          <w:sz w:val="32"/>
          <w:szCs w:val="32"/>
          <w:highlight w:val="none"/>
          <w:shd w:val="clear" w:fill="FFFFFF"/>
        </w:rPr>
        <w:t>人</w:t>
      </w:r>
      <w:r>
        <w:rPr>
          <w:rFonts w:hint="eastAsia" w:ascii="CESI仿宋-GB2312" w:hAnsi="CESI仿宋-GB2312" w:eastAsia="CESI仿宋-GB2312" w:cs="CESI仿宋-GB2312"/>
          <w:b w:val="0"/>
          <w:bCs w:val="0"/>
          <w:i w:val="0"/>
          <w:iCs w:val="0"/>
          <w:caps w:val="0"/>
          <w:color w:val="auto"/>
          <w:spacing w:val="0"/>
          <w:sz w:val="32"/>
          <w:szCs w:val="32"/>
          <w:highlight w:val="none"/>
          <w:shd w:val="clear" w:fill="FFFFFF"/>
        </w:rPr>
        <w:t>，对见习期满留用率达到50%以</w:t>
      </w:r>
      <w:r>
        <w:rPr>
          <w:rFonts w:hint="eastAsia" w:ascii="CESI仿宋-GB2312" w:hAnsi="CESI仿宋-GB2312" w:eastAsia="CESI仿宋-GB2312" w:cs="CESI仿宋-GB2312"/>
          <w:b w:val="0"/>
          <w:bCs w:val="0"/>
          <w:color w:val="auto"/>
          <w:sz w:val="32"/>
          <w:szCs w:val="32"/>
          <w:highlight w:val="none"/>
          <w:u w:val="none" w:color="auto"/>
          <w:lang w:eastAsia="zh-CN"/>
        </w:rPr>
        <w:t>上的见习单位，按规定提高见习补贴标准。</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市教体局、市工信局）</w:t>
      </w:r>
    </w:p>
    <w:p w14:paraId="4B563303">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楷体_GB2312" w:hAnsi="楷体_GB2312" w:eastAsia="楷体_GB2312" w:cs="楷体_GB2312"/>
          <w:b w:val="0"/>
          <w:bCs w:val="0"/>
          <w:color w:val="auto"/>
          <w:sz w:val="32"/>
          <w:szCs w:val="32"/>
          <w:highlight w:val="none"/>
          <w:u w:val="none" w:color="auto"/>
          <w:lang w:val="en-US" w:eastAsia="zh-CN"/>
        </w:rPr>
      </w:pPr>
      <w:r>
        <w:rPr>
          <w:rFonts w:hint="eastAsia" w:ascii="CESI仿宋-GB2312" w:hAnsi="CESI仿宋-GB2312" w:eastAsia="CESI仿宋-GB2312" w:cs="CESI仿宋-GB2312"/>
          <w:b/>
          <w:bCs/>
          <w:color w:val="auto"/>
          <w:sz w:val="32"/>
          <w:szCs w:val="32"/>
          <w:highlight w:val="none"/>
          <w:u w:val="none" w:color="auto"/>
          <w:lang w:val="en-US" w:eastAsia="zh-CN"/>
        </w:rPr>
        <w:t>13.不断</w:t>
      </w:r>
      <w:r>
        <w:rPr>
          <w:rFonts w:hint="eastAsia" w:ascii="CESI仿宋-GB2312" w:hAnsi="CESI仿宋-GB2312" w:eastAsia="CESI仿宋-GB2312" w:cs="CESI仿宋-GB2312"/>
          <w:b/>
          <w:bCs/>
          <w:color w:val="auto"/>
          <w:sz w:val="32"/>
          <w:szCs w:val="32"/>
          <w:highlight w:val="none"/>
          <w:u w:val="none" w:color="auto"/>
          <w:lang w:eastAsia="zh-CN"/>
        </w:rPr>
        <w:t>拓宽农牧民工多元化就业渠道。</w:t>
      </w:r>
      <w:r>
        <w:rPr>
          <w:rFonts w:hint="eastAsia" w:ascii="CESI仿宋-GB2312" w:hAnsi="CESI仿宋-GB2312" w:eastAsia="CESI仿宋-GB2312" w:cs="CESI仿宋-GB2312"/>
          <w:b w:val="0"/>
          <w:bCs w:val="0"/>
          <w:color w:val="auto"/>
          <w:sz w:val="32"/>
          <w:szCs w:val="32"/>
          <w:highlight w:val="none"/>
          <w:u w:val="none" w:color="auto"/>
          <w:lang w:eastAsia="zh-CN"/>
        </w:rPr>
        <w:t>推动农牧民工外出与返乡就近就业双向发力，针对我市农牧民工市内就业为主的特点，积极培育农畜产品加工、家政服务等特色劳务品牌，提高务工组织化程度，年内至少新培育</w:t>
      </w:r>
      <w:r>
        <w:rPr>
          <w:rFonts w:hint="eastAsia" w:ascii="CESI仿宋-GB2312" w:hAnsi="CESI仿宋-GB2312" w:eastAsia="CESI仿宋-GB2312" w:cs="CESI仿宋-GB2312"/>
          <w:b w:val="0"/>
          <w:bCs w:val="0"/>
          <w:color w:val="auto"/>
          <w:sz w:val="32"/>
          <w:szCs w:val="32"/>
          <w:highlight w:val="none"/>
          <w:u w:val="none" w:color="auto"/>
          <w:lang w:val="en-US" w:eastAsia="zh-CN"/>
        </w:rPr>
        <w:t>1个契合产业发展、带动就业能力强的劳务品牌</w:t>
      </w:r>
      <w:r>
        <w:rPr>
          <w:rFonts w:hint="eastAsia" w:ascii="CESI仿宋-GB2312" w:hAnsi="CESI仿宋-GB2312" w:eastAsia="CESI仿宋-GB2312" w:cs="CESI仿宋-GB2312"/>
          <w:b w:val="0"/>
          <w:bCs w:val="0"/>
          <w:color w:val="auto"/>
          <w:sz w:val="32"/>
          <w:szCs w:val="32"/>
          <w:highlight w:val="none"/>
          <w:u w:val="none" w:color="auto"/>
          <w:lang w:eastAsia="zh-CN"/>
        </w:rPr>
        <w:t>。广泛依托零工市场、社区中心、商圈夜市等“家门口”场景，灵活举办招聘活动，不间断送政策、送岗位，助力农牧民工稳岗增收。</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市农牧局、市发改委）</w:t>
      </w:r>
    </w:p>
    <w:p w14:paraId="5929AC15">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CESI仿宋-GB2312" w:hAnsi="CESI仿宋-GB2312" w:eastAsia="CESI仿宋-GB2312" w:cs="CESI仿宋-GB2312"/>
          <w:b w:val="0"/>
          <w:bCs w:val="0"/>
          <w:color w:val="auto"/>
          <w:sz w:val="32"/>
          <w:szCs w:val="32"/>
          <w:highlight w:val="none"/>
          <w:u w:val="none" w:color="auto"/>
          <w:lang w:eastAsia="zh-CN"/>
        </w:rPr>
      </w:pPr>
      <w:r>
        <w:rPr>
          <w:rFonts w:hint="eastAsia" w:ascii="CESI仿宋-GB2312" w:hAnsi="CESI仿宋-GB2312" w:eastAsia="CESI仿宋-GB2312" w:cs="CESI仿宋-GB2312"/>
          <w:b/>
          <w:bCs/>
          <w:color w:val="auto"/>
          <w:sz w:val="32"/>
          <w:szCs w:val="32"/>
          <w:highlight w:val="none"/>
          <w:u w:val="none" w:color="auto"/>
          <w:lang w:val="en-US" w:eastAsia="zh-CN"/>
        </w:rPr>
        <w:t>14.</w:t>
      </w:r>
      <w:r>
        <w:rPr>
          <w:rFonts w:hint="eastAsia" w:ascii="CESI仿宋-GB2312" w:hAnsi="CESI仿宋-GB2312" w:eastAsia="CESI仿宋-GB2312" w:cs="CESI仿宋-GB2312"/>
          <w:b/>
          <w:bCs/>
          <w:color w:val="auto"/>
          <w:sz w:val="32"/>
          <w:szCs w:val="32"/>
          <w:highlight w:val="none"/>
          <w:u w:val="none" w:color="auto"/>
          <w:lang w:eastAsia="zh-CN"/>
        </w:rPr>
        <w:t>精准帮扶就业困难群体兜牢就业底线。</w:t>
      </w:r>
      <w:r>
        <w:rPr>
          <w:rFonts w:hint="eastAsia" w:ascii="CESI仿宋-GB2312" w:hAnsi="CESI仿宋-GB2312" w:eastAsia="CESI仿宋-GB2312" w:cs="CESI仿宋-GB2312"/>
          <w:b w:val="0"/>
          <w:bCs w:val="0"/>
          <w:color w:val="auto"/>
          <w:sz w:val="32"/>
          <w:szCs w:val="32"/>
          <w:highlight w:val="none"/>
          <w:u w:val="none" w:color="auto"/>
          <w:lang w:eastAsia="zh-CN"/>
        </w:rPr>
        <w:t>健全就业困难人员动态认定和分级分类帮扶机制，对大龄、残疾、较长时间失业、零就业家庭等群体，建立“一人一档”服务台账，实行精准援助，全年实现就业困难人员就业1700人以上，确保零就业家庭“动态清零”。统筹开发社区服务、公共设施维护、生态管护等公益性岗位，兜牢就业困难群体就业底线，对不符合公益性岗位安置条件且通过其他渠道难以实现就业的就业困难人员，有条件的地区、部门可根据实际开发就业援助岗位。深化就业创业巾帼行动，促进妇女就业。组织开展就业援助月、残疾人专场招聘等专项活动，拓宽残疾人按比例就业、集中就业、辅助性就业和灵活就业渠道，全年新增残疾人就业不少于400人。将超过法定退休年龄且有劳动能力和就业意愿的常住人口纳入就业服务范围，有针对性地提供岗位推介，技能培训等就业服务。</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市农牧局、市民政局、市残联）</w:t>
      </w:r>
    </w:p>
    <w:p w14:paraId="28734885">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楷体_GB2312" w:hAnsi="楷体_GB2312" w:eastAsia="楷体_GB2312" w:cs="楷体_GB2312"/>
          <w:b w:val="0"/>
          <w:bCs w:val="0"/>
          <w:color w:val="auto"/>
          <w:sz w:val="32"/>
          <w:szCs w:val="32"/>
          <w:highlight w:val="none"/>
          <w:u w:val="none" w:color="auto"/>
          <w:lang w:val="en-US" w:eastAsia="zh-CN"/>
        </w:rPr>
      </w:pPr>
      <w:r>
        <w:rPr>
          <w:rFonts w:hint="eastAsia" w:ascii="CESI仿宋-GB2312" w:hAnsi="CESI仿宋-GB2312" w:eastAsia="CESI仿宋-GB2312" w:cs="CESI仿宋-GB2312"/>
          <w:b/>
          <w:bCs/>
          <w:color w:val="auto"/>
          <w:sz w:val="32"/>
          <w:szCs w:val="32"/>
          <w:highlight w:val="none"/>
          <w:u w:val="none" w:color="auto"/>
          <w:lang w:val="en-US" w:eastAsia="zh-CN"/>
        </w:rPr>
        <w:t>15.强化培训与服务做好退役军人就业保障。</w:t>
      </w:r>
      <w:r>
        <w:rPr>
          <w:rFonts w:hint="eastAsia" w:ascii="CESI仿宋-GB2312" w:hAnsi="CESI仿宋-GB2312" w:eastAsia="CESI仿宋-GB2312" w:cs="CESI仿宋-GB2312"/>
          <w:b w:val="0"/>
          <w:bCs w:val="0"/>
          <w:color w:val="auto"/>
          <w:sz w:val="32"/>
          <w:szCs w:val="32"/>
          <w:highlight w:val="none"/>
          <w:u w:val="none" w:color="auto"/>
          <w:lang w:val="en-US" w:eastAsia="zh-CN"/>
        </w:rPr>
        <w:t>加强退役军人教育培训，拓宽岗位就业渠道，鼓励优秀退役军人到退役军人服务机构工作，计划年内开展退役军人就业技能培训150人，培训率达到90%以上。加强退役军人就业服务，全年组织举办退役军人专场招聘活动不少于15场，帮扶就业80人以上。完善退役军人就业安置机制，按时完成自治区下达我市的年度军转干部和政府安排工作退役士兵的安置任务，统筹市属机关事业单位和市直相关国有企业招聘岗位，合理设置退役军人专项岗位。</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（责任单位：市退役军人事务局、市人社局）</w:t>
      </w:r>
    </w:p>
    <w:p w14:paraId="6FE891D0">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1" w:firstLineChars="200"/>
        <w:jc w:val="both"/>
        <w:textAlignment w:val="auto"/>
        <w:outlineLvl w:val="9"/>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pPr>
      <w:r>
        <w:rPr>
          <w:rFonts w:hint="eastAsia" w:ascii="CESI仿宋-GB2312" w:hAnsi="CESI仿宋-GB2312" w:eastAsia="CESI仿宋-GB2312" w:cs="CESI仿宋-GB2312"/>
          <w:b/>
          <w:bCs/>
          <w:color w:val="auto"/>
          <w:sz w:val="32"/>
          <w:szCs w:val="32"/>
          <w:highlight w:val="none"/>
          <w:u w:val="none" w:color="auto"/>
          <w:lang w:val="en-US" w:eastAsia="zh-CN"/>
        </w:rPr>
        <w:t>16.推动服务下沉提升公共就业服务质效。</w:t>
      </w:r>
      <w:r>
        <w:rPr>
          <w:rFonts w:hint="eastAsia" w:ascii="CESI仿宋-GB2312" w:hAnsi="CESI仿宋-GB2312" w:eastAsia="CESI仿宋-GB2312" w:cs="CESI仿宋-GB2312"/>
          <w:b w:val="0"/>
          <w:bCs w:val="0"/>
          <w:color w:val="auto"/>
          <w:sz w:val="32"/>
          <w:szCs w:val="32"/>
          <w:highlight w:val="none"/>
          <w:u w:val="none" w:color="auto"/>
          <w:lang w:val="en-US" w:eastAsia="zh-CN"/>
        </w:rPr>
        <w:t>持续推动公共就业服务下沉基层，新建“家门口”就业服务站70个，构建城镇“15分钟就业服务圈”，通过“大数据+铁脚板”常态化开展企业岗位和劳动者求职意愿信息采集工作，提高就业服务精准度。持续开展不间断的就业服务活动，实施人</w:t>
      </w:r>
      <w:bookmarkStart w:id="0" w:name="_GoBack"/>
      <w:bookmarkEnd w:id="0"/>
      <w:r>
        <w:rPr>
          <w:rFonts w:hint="eastAsia" w:ascii="CESI仿宋-GB2312" w:hAnsi="CESI仿宋-GB2312" w:eastAsia="CESI仿宋-GB2312" w:cs="CESI仿宋-GB2312"/>
          <w:b w:val="0"/>
          <w:bCs w:val="0"/>
          <w:color w:val="auto"/>
          <w:sz w:val="32"/>
          <w:szCs w:val="32"/>
          <w:highlight w:val="none"/>
          <w:u w:val="none" w:color="auto"/>
          <w:lang w:val="en-US" w:eastAsia="zh-CN"/>
        </w:rPr>
        <w:t>力资源服务业促就业行动，鼓励支持行业协会商会、经营性人力资源服务机构等广泛开展线上线下就业供需对接活动，落实好人力资源机构推荐困难人员就业和推荐企业用工补贴政策。</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p>
    <w:p w14:paraId="2BC3FFC3">
      <w:pPr>
        <w:keepNext w:val="0"/>
        <w:keepLines w:val="0"/>
        <w:pageBreakBefore w:val="0"/>
        <w:numPr>
          <w:ilvl w:val="0"/>
          <w:numId w:val="0"/>
        </w:numPr>
        <w:kinsoku/>
        <w:wordWrap/>
        <w:overflowPunct/>
        <w:topLinePunct w:val="0"/>
        <w:autoSpaceDE/>
        <w:autoSpaceDN/>
        <w:bidi w:val="0"/>
        <w:adjustRightInd/>
        <w:snapToGrid w:val="0"/>
        <w:spacing w:line="579" w:lineRule="exact"/>
        <w:ind w:leftChars="0" w:firstLine="643" w:firstLineChars="200"/>
        <w:jc w:val="both"/>
        <w:textAlignment w:val="auto"/>
        <w:outlineLvl w:val="9"/>
        <w:rPr>
          <w:rFonts w:hint="default" w:ascii="CESI仿宋-GB2312" w:hAnsi="CESI仿宋-GB2312" w:eastAsia="CESI仿宋-GB2312" w:cs="CESI仿宋-GB2312"/>
          <w:b w:val="0"/>
          <w:bCs w:val="0"/>
          <w:color w:val="auto"/>
          <w:sz w:val="32"/>
          <w:szCs w:val="32"/>
          <w:highlight w:val="none"/>
          <w:u w:val="none" w:color="auto"/>
          <w:lang w:val="en-US" w:eastAsia="zh-CN"/>
        </w:rPr>
      </w:pPr>
      <w:r>
        <w:rPr>
          <w:rFonts w:hint="eastAsia" w:ascii="楷体_GB2312" w:hAnsi="楷体_GB2312" w:eastAsia="楷体_GB2312" w:cs="楷体_GB2312"/>
          <w:b/>
          <w:bCs/>
          <w:i w:val="0"/>
          <w:iCs w:val="0"/>
          <w:color w:val="auto"/>
          <w:kern w:val="2"/>
          <w:sz w:val="32"/>
          <w:szCs w:val="32"/>
          <w:highlight w:val="none"/>
          <w:u w:val="none"/>
          <w:vertAlign w:val="baseline"/>
          <w:lang w:val="en-US" w:eastAsia="zh-CN" w:bidi="ar-SA"/>
        </w:rPr>
        <w:t>17.</w:t>
      </w:r>
      <w:r>
        <w:rPr>
          <w:rFonts w:hint="eastAsia" w:ascii="CESI仿宋-GB2312" w:hAnsi="CESI仿宋-GB2312" w:eastAsia="CESI仿宋-GB2312" w:cs="CESI仿宋-GB2312"/>
          <w:b/>
          <w:bCs/>
          <w:color w:val="auto"/>
          <w:sz w:val="32"/>
          <w:szCs w:val="32"/>
          <w:highlight w:val="none"/>
          <w:u w:val="none" w:color="auto"/>
          <w:lang w:val="en-US" w:eastAsia="zh-CN"/>
        </w:rPr>
        <w:t>规范市场秩序切实保障劳动者合法权益。</w:t>
      </w:r>
      <w:r>
        <w:rPr>
          <w:rFonts w:hint="eastAsia" w:ascii="CESI仿宋-GB2312" w:hAnsi="CESI仿宋-GB2312" w:eastAsia="CESI仿宋-GB2312" w:cs="CESI仿宋-GB2312"/>
          <w:b w:val="0"/>
          <w:bCs w:val="0"/>
          <w:color w:val="auto"/>
          <w:sz w:val="32"/>
          <w:szCs w:val="32"/>
          <w:highlight w:val="none"/>
          <w:u w:val="none" w:color="auto"/>
          <w:lang w:val="en-US" w:eastAsia="zh-CN"/>
        </w:rPr>
        <w:t>将灵活就业、新就业形态劳动者纳入就业公共服务范围，</w:t>
      </w:r>
      <w:r>
        <w:rPr>
          <w:rFonts w:hint="eastAsia" w:ascii="仿宋" w:hAnsi="仿宋" w:eastAsia="仿宋" w:cs="仿宋"/>
          <w:color w:val="auto"/>
          <w:sz w:val="32"/>
          <w:szCs w:val="32"/>
          <w:highlight w:val="none"/>
        </w:rPr>
        <w:t>开展</w:t>
      </w:r>
      <w:r>
        <w:rPr>
          <w:rFonts w:hint="eastAsia" w:ascii="仿宋" w:hAnsi="仿宋" w:eastAsia="仿宋" w:cs="仿宋"/>
          <w:color w:val="auto"/>
          <w:sz w:val="32"/>
          <w:szCs w:val="32"/>
          <w:highlight w:val="none"/>
          <w:lang w:val="en-US" w:eastAsia="zh-CN"/>
        </w:rPr>
        <w:t>新业态</w:t>
      </w:r>
      <w:r>
        <w:rPr>
          <w:rFonts w:hint="eastAsia" w:ascii="仿宋" w:hAnsi="仿宋" w:eastAsia="仿宋" w:cs="仿宋"/>
          <w:color w:val="auto"/>
          <w:sz w:val="32"/>
          <w:szCs w:val="32"/>
          <w:highlight w:val="none"/>
        </w:rPr>
        <w:t>专项指导与监测， </w:t>
      </w:r>
      <w:r>
        <w:rPr>
          <w:rFonts w:hint="eastAsia" w:ascii="仿宋" w:hAnsi="仿宋" w:eastAsia="仿宋" w:cs="仿宋"/>
          <w:color w:val="auto"/>
          <w:sz w:val="32"/>
          <w:szCs w:val="32"/>
          <w:highlight w:val="none"/>
          <w:lang w:eastAsia="zh-CN"/>
        </w:rPr>
        <w:t>加强</w:t>
      </w:r>
      <w:r>
        <w:rPr>
          <w:rFonts w:hint="eastAsia" w:ascii="仿宋" w:hAnsi="仿宋" w:eastAsia="仿宋" w:cs="仿宋"/>
          <w:color w:val="auto"/>
          <w:sz w:val="32"/>
          <w:szCs w:val="32"/>
          <w:highlight w:val="none"/>
        </w:rPr>
        <w:t>网络送餐、快递物流等平台企业规范用工</w:t>
      </w:r>
      <w:r>
        <w:rPr>
          <w:rFonts w:hint="eastAsia" w:ascii="仿宋" w:hAnsi="仿宋" w:eastAsia="仿宋" w:cs="仿宋"/>
          <w:color w:val="auto"/>
          <w:sz w:val="32"/>
          <w:szCs w:val="32"/>
          <w:highlight w:val="none"/>
          <w:lang w:eastAsia="zh-CN"/>
        </w:rPr>
        <w:t>指导，</w:t>
      </w:r>
      <w:r>
        <w:rPr>
          <w:rFonts w:hint="eastAsia" w:ascii="CESI仿宋-GB2312" w:hAnsi="CESI仿宋-GB2312" w:eastAsia="CESI仿宋-GB2312" w:cs="CESI仿宋-GB2312"/>
          <w:b w:val="0"/>
          <w:bCs w:val="0"/>
          <w:color w:val="auto"/>
          <w:sz w:val="32"/>
          <w:szCs w:val="32"/>
          <w:highlight w:val="none"/>
          <w:u w:val="none" w:color="auto"/>
          <w:lang w:val="en-US" w:eastAsia="zh-CN"/>
        </w:rPr>
        <w:t>推进新就业形态人员职业伤害保障试点，鼓励支持新就业形态人员参加职工养老保险。</w:t>
      </w:r>
      <w:r>
        <w:rPr>
          <w:rFonts w:hint="eastAsia" w:ascii="仿宋" w:hAnsi="仿宋" w:eastAsia="仿宋" w:cs="仿宋"/>
          <w:color w:val="auto"/>
          <w:sz w:val="32"/>
          <w:szCs w:val="32"/>
          <w:highlight w:val="none"/>
        </w:rPr>
        <w:t>依托协调劳动关系三方机制，围绕劳动报酬、工作时间、休息休假等事项，探索在新业态</w:t>
      </w:r>
      <w:r>
        <w:rPr>
          <w:rFonts w:hint="eastAsia" w:ascii="仿宋" w:hAnsi="仿宋" w:eastAsia="仿宋" w:cs="仿宋"/>
          <w:color w:val="auto"/>
          <w:sz w:val="32"/>
          <w:szCs w:val="32"/>
          <w:highlight w:val="none"/>
          <w:lang w:eastAsia="zh-CN"/>
        </w:rPr>
        <w:t>领域</w:t>
      </w:r>
      <w:r>
        <w:rPr>
          <w:rFonts w:hint="eastAsia" w:ascii="仿宋" w:hAnsi="仿宋" w:eastAsia="仿宋" w:cs="仿宋"/>
          <w:color w:val="auto"/>
          <w:sz w:val="32"/>
          <w:szCs w:val="32"/>
          <w:highlight w:val="none"/>
        </w:rPr>
        <w:t>开展行业性、区域性集体协商</w:t>
      </w:r>
      <w:r>
        <w:rPr>
          <w:rFonts w:hint="eastAsia" w:ascii="仿宋" w:hAnsi="仿宋" w:eastAsia="仿宋" w:cs="仿宋"/>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u w:val="none" w:color="auto"/>
          <w:lang w:val="en-US" w:eastAsia="zh-CN"/>
        </w:rPr>
        <w:t>持续开展清理整顿人力资源市场秩序专项行动，依法严厉打击就业歧视、黑中介、招聘欺诈等违法行为，规范劳务派遣用工，坚决纠治“假外包、真派遣”等乱象。组织开展“人社全领域、用工全链条”劳动保障服务行动，加大劳动用工监察执法力度，引导用人单位依法建立和完善劳动规章制度，指导企业与职工通过协商稳定就业岗位、规范裁员行为，从源头筑牢劳动者权益保障防线。</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各行业主管部门）</w:t>
      </w:r>
    </w:p>
    <w:p w14:paraId="7886E9B4">
      <w:pPr>
        <w:keepNext w:val="0"/>
        <w:keepLines w:val="0"/>
        <w:pageBreakBefore w:val="0"/>
        <w:kinsoku/>
        <w:wordWrap/>
        <w:overflowPunct/>
        <w:topLinePunct w:val="0"/>
        <w:autoSpaceDE/>
        <w:autoSpaceDN/>
        <w:bidi w:val="0"/>
        <w:adjustRightInd/>
        <w:snapToGrid w:val="0"/>
        <w:spacing w:before="0" w:after="0" w:line="579" w:lineRule="exact"/>
        <w:ind w:left="0" w:firstLine="640" w:firstLineChars="200"/>
        <w:jc w:val="both"/>
        <w:textAlignment w:val="auto"/>
        <w:outlineLvl w:val="9"/>
        <w:rPr>
          <w:rFonts w:hint="eastAsia" w:ascii="CESI黑体-GB2312" w:hAnsi="CESI黑体-GB2312" w:eastAsia="CESI黑体-GB2312" w:cs="CESI黑体-GB2312"/>
          <w:b w:val="0"/>
          <w:bCs w:val="0"/>
          <w:color w:val="auto"/>
          <w:sz w:val="32"/>
          <w:szCs w:val="32"/>
          <w:highlight w:val="none"/>
          <w:lang w:eastAsia="zh-CN"/>
        </w:rPr>
      </w:pPr>
      <w:r>
        <w:rPr>
          <w:rFonts w:hint="eastAsia" w:ascii="CESI黑体-GB2312" w:hAnsi="CESI黑体-GB2312" w:eastAsia="CESI黑体-GB2312" w:cs="CESI黑体-GB2312"/>
          <w:b w:val="0"/>
          <w:bCs w:val="0"/>
          <w:color w:val="auto"/>
          <w:sz w:val="32"/>
          <w:szCs w:val="32"/>
          <w:highlight w:val="none"/>
        </w:rPr>
        <w:t>三、</w:t>
      </w:r>
      <w:r>
        <w:rPr>
          <w:rFonts w:hint="eastAsia" w:ascii="CESI黑体-GB2312" w:hAnsi="CESI黑体-GB2312" w:eastAsia="CESI黑体-GB2312" w:cs="CESI黑体-GB2312"/>
          <w:b w:val="0"/>
          <w:bCs w:val="0"/>
          <w:color w:val="auto"/>
          <w:sz w:val="32"/>
          <w:szCs w:val="32"/>
          <w:highlight w:val="none"/>
          <w:lang w:eastAsia="zh-CN"/>
        </w:rPr>
        <w:t>组织保障</w:t>
      </w:r>
    </w:p>
    <w:p w14:paraId="13FFE26C">
      <w:pPr>
        <w:pStyle w:val="23"/>
        <w:keepNext w:val="0"/>
        <w:keepLines w:val="0"/>
        <w:pageBreakBefore w:val="0"/>
        <w:numPr>
          <w:ilvl w:val="0"/>
          <w:numId w:val="0"/>
        </w:numPr>
        <w:kinsoku/>
        <w:wordWrap/>
        <w:overflowPunct/>
        <w:topLinePunct w:val="0"/>
        <w:autoSpaceDE/>
        <w:autoSpaceDN/>
        <w:bidi w:val="0"/>
        <w:adjustRightInd/>
        <w:snapToGrid w:val="0"/>
        <w:spacing w:before="0" w:after="0" w:line="579" w:lineRule="exact"/>
        <w:ind w:leftChars="0" w:firstLine="640" w:firstLineChars="200"/>
        <w:jc w:val="both"/>
        <w:textAlignment w:val="auto"/>
        <w:outlineLvl w:val="9"/>
        <w:rPr>
          <w:rFonts w:hint="default" w:ascii="CESI仿宋-GB2312" w:hAnsi="CESI仿宋-GB2312" w:eastAsia="CESI仿宋-GB2312" w:cs="CESI仿宋-GB2312"/>
          <w:b w:val="0"/>
          <w:bCs w:val="0"/>
          <w:color w:val="auto"/>
          <w:sz w:val="32"/>
          <w:szCs w:val="32"/>
          <w:highlight w:val="none"/>
          <w:lang w:val="en-US" w:eastAsia="zh-CN"/>
        </w:rPr>
      </w:pPr>
      <w:r>
        <w:rPr>
          <w:rFonts w:hint="eastAsia" w:ascii="CESI楷体-GB2312" w:hAnsi="CESI楷体-GB2312" w:eastAsia="CESI楷体-GB2312" w:cs="CESI楷体-GB2312"/>
          <w:b w:val="0"/>
          <w:bCs w:val="0"/>
          <w:color w:val="auto"/>
          <w:sz w:val="32"/>
          <w:szCs w:val="32"/>
          <w:highlight w:val="none"/>
          <w:lang w:val="en-US" w:eastAsia="zh-CN"/>
        </w:rPr>
        <w:t>18.</w:t>
      </w:r>
      <w:r>
        <w:rPr>
          <w:rFonts w:hint="eastAsia" w:ascii="CESI楷体-GB2312" w:hAnsi="CESI楷体-GB2312" w:eastAsia="CESI楷体-GB2312" w:cs="CESI楷体-GB2312"/>
          <w:b w:val="0"/>
          <w:bCs w:val="0"/>
          <w:color w:val="auto"/>
          <w:sz w:val="32"/>
          <w:szCs w:val="32"/>
          <w:highlight w:val="none"/>
          <w:lang w:eastAsia="zh-CN"/>
        </w:rPr>
        <w:t>加强组织领导。</w:t>
      </w:r>
      <w:r>
        <w:rPr>
          <w:rFonts w:hint="eastAsia" w:ascii="CESI仿宋-GB2312" w:hAnsi="CESI仿宋-GB2312" w:eastAsia="CESI仿宋-GB2312" w:cs="CESI仿宋-GB2312"/>
          <w:b w:val="0"/>
          <w:bCs w:val="0"/>
          <w:color w:val="auto"/>
          <w:sz w:val="32"/>
          <w:szCs w:val="32"/>
          <w:highlight w:val="none"/>
          <w:lang w:eastAsia="zh-CN"/>
        </w:rPr>
        <w:t>市</w:t>
      </w:r>
      <w:r>
        <w:rPr>
          <w:rFonts w:hint="eastAsia" w:ascii="CESI仿宋-GB2312" w:hAnsi="CESI仿宋-GB2312" w:eastAsia="CESI仿宋-GB2312" w:cs="CESI仿宋-GB2312"/>
          <w:b w:val="0"/>
          <w:bCs w:val="0"/>
          <w:color w:val="auto"/>
          <w:sz w:val="32"/>
          <w:szCs w:val="32"/>
          <w:highlight w:val="none"/>
        </w:rPr>
        <w:t>就业</w:t>
      </w:r>
      <w:r>
        <w:rPr>
          <w:rFonts w:hint="eastAsia" w:ascii="CESI仿宋-GB2312" w:hAnsi="CESI仿宋-GB2312" w:eastAsia="CESI仿宋-GB2312" w:cs="CESI仿宋-GB2312"/>
          <w:b w:val="0"/>
          <w:bCs w:val="0"/>
          <w:color w:val="auto"/>
          <w:sz w:val="32"/>
          <w:szCs w:val="32"/>
          <w:highlight w:val="none"/>
          <w:lang w:eastAsia="zh-CN"/>
        </w:rPr>
        <w:t>促进和劳动保护</w:t>
      </w:r>
      <w:r>
        <w:rPr>
          <w:rFonts w:hint="eastAsia" w:ascii="CESI仿宋-GB2312" w:hAnsi="CESI仿宋-GB2312" w:eastAsia="CESI仿宋-GB2312" w:cs="CESI仿宋-GB2312"/>
          <w:b w:val="0"/>
          <w:bCs w:val="0"/>
          <w:color w:val="auto"/>
          <w:sz w:val="32"/>
          <w:szCs w:val="32"/>
          <w:highlight w:val="none"/>
        </w:rPr>
        <w:t>工作领导小组</w:t>
      </w:r>
      <w:r>
        <w:rPr>
          <w:rFonts w:hint="eastAsia" w:ascii="CESI仿宋-GB2312" w:hAnsi="CESI仿宋-GB2312" w:eastAsia="CESI仿宋-GB2312" w:cs="CESI仿宋-GB2312"/>
          <w:b w:val="0"/>
          <w:bCs w:val="0"/>
          <w:color w:val="auto"/>
          <w:sz w:val="32"/>
          <w:szCs w:val="32"/>
          <w:highlight w:val="none"/>
          <w:lang w:eastAsia="zh-CN"/>
        </w:rPr>
        <w:t>办公室（市人社局）统筹调度各项措施落实进展情况，按照职责分工，</w:t>
      </w:r>
      <w:r>
        <w:rPr>
          <w:rFonts w:hint="eastAsia" w:ascii="CESI仿宋-GB2312" w:hAnsi="CESI仿宋-GB2312" w:eastAsia="CESI仿宋-GB2312" w:cs="CESI仿宋-GB2312"/>
          <w:b w:val="0"/>
          <w:bCs w:val="0"/>
          <w:color w:val="auto"/>
          <w:sz w:val="32"/>
          <w:szCs w:val="32"/>
          <w:highlight w:val="none"/>
        </w:rPr>
        <w:t>压实</w:t>
      </w:r>
      <w:r>
        <w:rPr>
          <w:rFonts w:hint="eastAsia" w:ascii="CESI仿宋-GB2312" w:hAnsi="CESI仿宋-GB2312" w:eastAsia="CESI仿宋-GB2312" w:cs="CESI仿宋-GB2312"/>
          <w:b w:val="0"/>
          <w:bCs w:val="0"/>
          <w:color w:val="auto"/>
          <w:sz w:val="32"/>
          <w:szCs w:val="32"/>
          <w:highlight w:val="none"/>
          <w:lang w:eastAsia="zh-CN"/>
        </w:rPr>
        <w:t>各旗区属地责任和各部门</w:t>
      </w:r>
      <w:r>
        <w:rPr>
          <w:rFonts w:hint="eastAsia" w:ascii="CESI仿宋-GB2312" w:hAnsi="CESI仿宋-GB2312" w:eastAsia="CESI仿宋-GB2312" w:cs="CESI仿宋-GB2312"/>
          <w:b w:val="0"/>
          <w:bCs w:val="0"/>
          <w:color w:val="auto"/>
          <w:sz w:val="32"/>
          <w:szCs w:val="32"/>
          <w:highlight w:val="none"/>
        </w:rPr>
        <w:t>就业工作</w:t>
      </w:r>
      <w:r>
        <w:rPr>
          <w:rFonts w:hint="eastAsia" w:ascii="CESI仿宋-GB2312" w:hAnsi="CESI仿宋-GB2312" w:eastAsia="CESI仿宋-GB2312" w:cs="CESI仿宋-GB2312"/>
          <w:b w:val="0"/>
          <w:bCs w:val="0"/>
          <w:color w:val="auto"/>
          <w:sz w:val="32"/>
          <w:szCs w:val="32"/>
          <w:highlight w:val="none"/>
          <w:lang w:eastAsia="zh-CN"/>
        </w:rPr>
        <w:t>任务，强化协同配合，形成落实合力。同时要加大政策宣介力度，利用“网、报、微、屏”等多种渠道面向企业、劳动者进行深入宣传，提升政策知晓度，形成</w:t>
      </w:r>
      <w:r>
        <w:rPr>
          <w:rFonts w:hint="eastAsia" w:ascii="CESI仿宋-GB2312" w:hAnsi="CESI仿宋-GB2312" w:eastAsia="CESI仿宋-GB2312" w:cs="CESI仿宋-GB2312"/>
          <w:b w:val="0"/>
          <w:bCs w:val="0"/>
          <w:color w:val="auto"/>
          <w:sz w:val="32"/>
          <w:szCs w:val="32"/>
          <w:highlight w:val="none"/>
        </w:rPr>
        <w:t>“部门联动、旗区主抓、企业参与、社会协同” 的</w:t>
      </w:r>
      <w:r>
        <w:rPr>
          <w:rFonts w:hint="eastAsia" w:ascii="CESI仿宋-GB2312" w:hAnsi="CESI仿宋-GB2312" w:eastAsia="CESI仿宋-GB2312" w:cs="CESI仿宋-GB2312"/>
          <w:b w:val="0"/>
          <w:bCs w:val="0"/>
          <w:color w:val="auto"/>
          <w:sz w:val="32"/>
          <w:szCs w:val="32"/>
          <w:highlight w:val="none"/>
          <w:lang w:eastAsia="zh-CN"/>
        </w:rPr>
        <w:t>良好</w:t>
      </w:r>
      <w:r>
        <w:rPr>
          <w:rFonts w:hint="eastAsia" w:ascii="CESI仿宋-GB2312" w:hAnsi="CESI仿宋-GB2312" w:eastAsia="CESI仿宋-GB2312" w:cs="CESI仿宋-GB2312"/>
          <w:b w:val="0"/>
          <w:bCs w:val="0"/>
          <w:color w:val="auto"/>
          <w:sz w:val="32"/>
          <w:szCs w:val="32"/>
          <w:highlight w:val="none"/>
        </w:rPr>
        <w:t>工作格局。</w:t>
      </w:r>
      <w:r>
        <w:rPr>
          <w:rFonts w:hint="eastAsia" w:ascii="CESI仿宋-GB2312" w:hAnsi="CESI仿宋-GB2312" w:eastAsia="CESI仿宋-GB2312" w:cs="CESI仿宋-GB2312"/>
          <w:b w:val="0"/>
          <w:bCs w:val="0"/>
          <w:color w:val="auto"/>
          <w:sz w:val="32"/>
          <w:szCs w:val="32"/>
          <w:highlight w:val="none"/>
          <w:lang w:eastAsia="zh-CN"/>
        </w:rPr>
        <w:t>各地各部门于</w:t>
      </w:r>
      <w:r>
        <w:rPr>
          <w:rFonts w:hint="eastAsia" w:ascii="CESI仿宋-GB2312" w:hAnsi="CESI仿宋-GB2312" w:eastAsia="CESI仿宋-GB2312" w:cs="CESI仿宋-GB2312"/>
          <w:b w:val="0"/>
          <w:bCs w:val="0"/>
          <w:color w:val="auto"/>
          <w:sz w:val="32"/>
          <w:szCs w:val="32"/>
          <w:highlight w:val="none"/>
          <w:lang w:val="en-US" w:eastAsia="zh-CN"/>
        </w:rPr>
        <w:t>7月、10月、次年1月月初3个工作日内，将季度年度工程实施情况报市就业促进和劳动保护领导小组办公室</w:t>
      </w:r>
      <w:r>
        <w:rPr>
          <w:rFonts w:hint="eastAsia" w:ascii="CESI楷体-GB2312" w:hAnsi="CESI楷体-GB2312" w:eastAsia="CESI楷体-GB2312" w:cs="CESI楷体-GB2312"/>
          <w:b w:val="0"/>
          <w:bCs w:val="0"/>
          <w:color w:val="auto"/>
          <w:sz w:val="32"/>
          <w:szCs w:val="32"/>
          <w:highlight w:val="none"/>
          <w:lang w:val="en-US" w:eastAsia="zh-CN"/>
        </w:rPr>
        <w:t>（设在市人社局）</w:t>
      </w:r>
      <w:r>
        <w:rPr>
          <w:rFonts w:hint="eastAsia" w:ascii="CESI仿宋-GB2312" w:hAnsi="CESI仿宋-GB2312" w:eastAsia="CESI仿宋-GB2312" w:cs="CESI仿宋-GB2312"/>
          <w:b w:val="0"/>
          <w:bCs w:val="0"/>
          <w:color w:val="auto"/>
          <w:sz w:val="32"/>
          <w:szCs w:val="32"/>
          <w:highlight w:val="none"/>
          <w:lang w:val="en-US"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（责任单位：市就业促进和劳动保护领导小组各成员单位）</w:t>
      </w:r>
    </w:p>
    <w:p w14:paraId="7D4EA0FE">
      <w:pPr>
        <w:pStyle w:val="23"/>
        <w:keepNext w:val="0"/>
        <w:keepLines w:val="0"/>
        <w:pageBreakBefore w:val="0"/>
        <w:numPr>
          <w:ilvl w:val="0"/>
          <w:numId w:val="0"/>
        </w:numPr>
        <w:kinsoku/>
        <w:wordWrap/>
        <w:overflowPunct/>
        <w:topLinePunct w:val="0"/>
        <w:autoSpaceDE/>
        <w:autoSpaceDN/>
        <w:bidi w:val="0"/>
        <w:adjustRightInd/>
        <w:snapToGrid w:val="0"/>
        <w:spacing w:before="0" w:after="0" w:line="579" w:lineRule="exact"/>
        <w:ind w:leftChars="0" w:firstLine="640" w:firstLineChars="200"/>
        <w:jc w:val="both"/>
        <w:textAlignment w:val="auto"/>
        <w:outlineLvl w:val="9"/>
        <w:rPr>
          <w:color w:val="auto"/>
          <w:sz w:val="32"/>
          <w:szCs w:val="32"/>
          <w:highlight w:val="none"/>
        </w:rPr>
      </w:pPr>
      <w:r>
        <w:rPr>
          <w:rFonts w:hint="eastAsia" w:ascii="CESI楷体-GB2312" w:hAnsi="CESI楷体-GB2312" w:eastAsia="CESI楷体-GB2312" w:cs="CESI楷体-GB2312"/>
          <w:b w:val="0"/>
          <w:bCs w:val="0"/>
          <w:color w:val="auto"/>
          <w:sz w:val="32"/>
          <w:szCs w:val="32"/>
          <w:highlight w:val="none"/>
          <w:lang w:val="en-US" w:eastAsia="zh-CN"/>
        </w:rPr>
        <w:t>19.</w:t>
      </w:r>
      <w:r>
        <w:rPr>
          <w:rFonts w:hint="eastAsia" w:ascii="CESI楷体-GB2312" w:hAnsi="CESI楷体-GB2312" w:eastAsia="CESI楷体-GB2312" w:cs="CESI楷体-GB2312"/>
          <w:b w:val="0"/>
          <w:bCs w:val="0"/>
          <w:color w:val="auto"/>
          <w:sz w:val="32"/>
          <w:szCs w:val="32"/>
          <w:highlight w:val="none"/>
        </w:rPr>
        <w:t>强化资金保障</w:t>
      </w:r>
      <w:r>
        <w:rPr>
          <w:rFonts w:hint="eastAsia" w:ascii="CESI楷体-GB2312" w:hAnsi="CESI楷体-GB2312" w:eastAsia="CESI楷体-GB2312" w:cs="CESI楷体-GB2312"/>
          <w:b w:val="0"/>
          <w:bCs w:val="0"/>
          <w:color w:val="auto"/>
          <w:sz w:val="32"/>
          <w:szCs w:val="32"/>
          <w:highlight w:val="none"/>
          <w:lang w:eastAsia="zh-CN"/>
        </w:rPr>
        <w:t>。</w:t>
      </w:r>
      <w:r>
        <w:rPr>
          <w:rFonts w:hint="eastAsia" w:ascii="CESI仿宋-GB2312" w:hAnsi="CESI仿宋-GB2312" w:eastAsia="CESI仿宋-GB2312" w:cs="CESI仿宋-GB2312"/>
          <w:b w:val="0"/>
          <w:bCs w:val="0"/>
          <w:color w:val="auto"/>
          <w:sz w:val="32"/>
          <w:szCs w:val="32"/>
          <w:highlight w:val="none"/>
          <w:lang w:eastAsia="zh-CN"/>
        </w:rPr>
        <w:t>市旗两级人社部门要联合财政部门，强化就业补助资金、失业保险基金等全流程监管，压实资金安全责任。同时，加快各项就业政策的审核兑现，推行‘直达快享’模式，确保相关补贴资金及时足额拨付到位，切实提升就业补助资金的支出效率和惠企利民实效。</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（责任单位：市人社局</w:t>
      </w:r>
      <w:r>
        <w:rPr>
          <w:rFonts w:hint="eastAsia" w:ascii="楷体_GB2312" w:hAnsi="楷体_GB2312" w:eastAsia="楷体_GB2312" w:cs="楷体_GB2312"/>
          <w:b w:val="0"/>
          <w:bCs w:val="0"/>
          <w:color w:val="auto"/>
          <w:sz w:val="32"/>
          <w:szCs w:val="32"/>
          <w:highlight w:val="none"/>
          <w:u w:val="none"/>
          <w:lang w:eastAsia="zh-CN"/>
        </w:rPr>
        <w:t>、</w:t>
      </w:r>
      <w:r>
        <w:rPr>
          <w:rFonts w:hint="eastAsia" w:ascii="楷体_GB2312" w:hAnsi="楷体_GB2312" w:eastAsia="楷体_GB2312" w:cs="楷体_GB2312"/>
          <w:b w:val="0"/>
          <w:bCs w:val="0"/>
          <w:i w:val="0"/>
          <w:iCs w:val="0"/>
          <w:color w:val="auto"/>
          <w:kern w:val="2"/>
          <w:sz w:val="32"/>
          <w:szCs w:val="32"/>
          <w:highlight w:val="none"/>
          <w:u w:val="none"/>
          <w:vertAlign w:val="baseline"/>
          <w:lang w:val="en-US" w:eastAsia="zh-CN" w:bidi="ar-SA"/>
        </w:rPr>
        <w:t>市财政局）</w:t>
      </w:r>
    </w:p>
    <w:sectPr>
      <w:footerReference r:id="rId3" w:type="default"/>
      <w:footerReference r:id="rId4" w:type="even"/>
      <w:pgSz w:w="11906" w:h="16838"/>
      <w:pgMar w:top="2098" w:right="1474" w:bottom="1984" w:left="1587" w:header="708" w:footer="708"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CESI黑体-GB2312">
    <w:panose1 w:val="02000500000000000000"/>
    <w:charset w:val="86"/>
    <w:family w:val="auto"/>
    <w:pitch w:val="default"/>
    <w:sig w:usb0="800002BF" w:usb1="184F6CF8" w:usb2="00000012" w:usb3="00000000" w:csb0="0004000F" w:csb1="00000000"/>
  </w:font>
  <w:font w:name="CESI楷体-GB2312">
    <w:panose1 w:val="02000500000000000000"/>
    <w:charset w:val="86"/>
    <w:family w:val="auto"/>
    <w:pitch w:val="default"/>
    <w:sig w:usb0="800002BF" w:usb1="184F6CF8" w:usb2="00000012" w:usb3="00000000" w:csb0="0004000F"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CB01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posOffset>4886325</wp:posOffset>
              </wp:positionH>
              <wp:positionV relativeFrom="paragraph">
                <wp:posOffset>-544830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DD3FF">
                          <w:pPr>
                            <w:pStyle w:val="10"/>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4.75pt;margin-top:-42.9pt;height:144pt;width:144pt;mso-position-horizontal-relative:margin;mso-wrap-style:none;z-index:251659264;mso-width-relative:page;mso-height-relative:page;" filled="f" stroked="f" coordsize="21600,21600" o:gfxdata="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AOSC2bZAAAADAEAAA8AAAAAAAAAAQAgAAAAIgAAAGRycy9kb3ducmV2Lnht&#10;bFBLAQIUABQAAAAIAIdO4kBrhfn7MQIAAGEEAAAOAAAAAAAAAAEAIAAAACgBAABkcnMvZTJvRG9j&#10;LnhtbFBLBQYAAAAABgAGAFkBAADLBQAAAAA=&#10;">
              <v:fill on="f" focussize="0,0"/>
              <v:stroke on="f" weight="0.5pt"/>
              <v:imagedata o:title=""/>
              <o:lock v:ext="edit" aspectratio="f"/>
              <v:textbox inset="0mm,0mm,0mm,0mm" style="mso-fit-shape-to-text:t;">
                <w:txbxContent>
                  <w:p w14:paraId="6CBDD3FF">
                    <w:pPr>
                      <w:pStyle w:val="10"/>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1</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E3E6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posOffset>173355</wp:posOffset>
              </wp:positionH>
              <wp:positionV relativeFrom="paragraph">
                <wp:posOffset>-544830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E861A">
                          <w:pPr>
                            <w:pStyle w:val="10"/>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2</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3.65pt;margin-top:-42.9pt;height:144pt;width:144pt;mso-position-horizontal-relative:margin;mso-wrap-style:none;z-index:251660288;mso-width-relative:page;mso-height-relative:page;" filled="f" stroked="f" coordsize="21600,21600" o:gfxdata="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kuCVr1wAAAAo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14:paraId="615E861A">
                    <w:pPr>
                      <w:pStyle w:val="10"/>
                      <w:rPr>
                        <w:rFonts w:hint="eastAsia" w:asciiTheme="minorEastAsia" w:hAnsiTheme="minorEastAsia" w:eastAsiaTheme="minorEastAsia" w:cstheme="minorEastAsia"/>
                        <w:sz w:val="28"/>
                        <w:szCs w:val="40"/>
                      </w:rPr>
                    </w:pPr>
                    <w:r>
                      <w:rPr>
                        <w:rFonts w:hint="eastAsia" w:asciiTheme="minorEastAsia" w:hAnsiTheme="minorEastAsia" w:eastAsiaTheme="minorEastAsia" w:cstheme="minorEastAsia"/>
                        <w:sz w:val="28"/>
                        <w:szCs w:val="40"/>
                      </w:rPr>
                      <w:t xml:space="preserve">— </w:t>
                    </w:r>
                    <w:r>
                      <w:rPr>
                        <w:rFonts w:hint="eastAsia" w:asciiTheme="minorEastAsia" w:hAnsiTheme="minorEastAsia" w:eastAsiaTheme="minorEastAsia" w:cstheme="minorEastAsia"/>
                        <w:sz w:val="28"/>
                        <w:szCs w:val="40"/>
                      </w:rPr>
                      <w:fldChar w:fldCharType="begin"/>
                    </w:r>
                    <w:r>
                      <w:rPr>
                        <w:rFonts w:hint="eastAsia" w:asciiTheme="minorEastAsia" w:hAnsiTheme="minorEastAsia" w:eastAsiaTheme="minorEastAsia" w:cstheme="minorEastAsia"/>
                        <w:sz w:val="28"/>
                        <w:szCs w:val="40"/>
                      </w:rPr>
                      <w:instrText xml:space="preserve"> PAGE  \* MERGEFORMAT </w:instrText>
                    </w:r>
                    <w:r>
                      <w:rPr>
                        <w:rFonts w:hint="eastAsia" w:asciiTheme="minorEastAsia" w:hAnsiTheme="minorEastAsia" w:eastAsiaTheme="minorEastAsia" w:cstheme="minorEastAsia"/>
                        <w:sz w:val="28"/>
                        <w:szCs w:val="40"/>
                      </w:rPr>
                      <w:fldChar w:fldCharType="separate"/>
                    </w:r>
                    <w:r>
                      <w:rPr>
                        <w:rFonts w:hint="eastAsia" w:asciiTheme="minorEastAsia" w:hAnsiTheme="minorEastAsia" w:eastAsiaTheme="minorEastAsia" w:cstheme="minorEastAsia"/>
                        <w:sz w:val="28"/>
                        <w:szCs w:val="40"/>
                      </w:rPr>
                      <w:t>2</w:t>
                    </w:r>
                    <w:r>
                      <w:rPr>
                        <w:rFonts w:hint="eastAsia" w:asciiTheme="minorEastAsia" w:hAnsiTheme="minorEastAsia" w:eastAsiaTheme="minorEastAsia" w:cstheme="minorEastAsia"/>
                        <w:sz w:val="28"/>
                        <w:szCs w:val="40"/>
                      </w:rPr>
                      <w:fldChar w:fldCharType="end"/>
                    </w:r>
                    <w:r>
                      <w:rPr>
                        <w:rFonts w:hint="eastAsia" w:asciiTheme="minorEastAsia" w:hAnsiTheme="minorEastAsia" w:eastAsiaTheme="minorEastAsia" w:cstheme="minorEastAsia"/>
                        <w:sz w:val="28"/>
                        <w:szCs w:val="40"/>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evenAndOddHeaders w:val="1"/>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5"/>
  </w:compat>
  <w:rsids>
    <w:rsidRoot w:val="00000000"/>
    <w:rsid w:val="07FB7380"/>
    <w:rsid w:val="0DDE2E9E"/>
    <w:rsid w:val="16EB7FB6"/>
    <w:rsid w:val="1DDBBAF1"/>
    <w:rsid w:val="27FF4DE3"/>
    <w:rsid w:val="2CDD4661"/>
    <w:rsid w:val="2EEE51BB"/>
    <w:rsid w:val="2F0897E1"/>
    <w:rsid w:val="31DF89F1"/>
    <w:rsid w:val="31F731DF"/>
    <w:rsid w:val="377B6C66"/>
    <w:rsid w:val="37F3F80B"/>
    <w:rsid w:val="3AAA205E"/>
    <w:rsid w:val="3AFFFF01"/>
    <w:rsid w:val="3BEE5FDA"/>
    <w:rsid w:val="3EBCE07B"/>
    <w:rsid w:val="3EFEC60D"/>
    <w:rsid w:val="3FEF32AC"/>
    <w:rsid w:val="457CA1A8"/>
    <w:rsid w:val="4DFC1792"/>
    <w:rsid w:val="53BFF71C"/>
    <w:rsid w:val="566F82BF"/>
    <w:rsid w:val="5739A9DB"/>
    <w:rsid w:val="57ADBB9B"/>
    <w:rsid w:val="5BFF7B4B"/>
    <w:rsid w:val="5CFDE908"/>
    <w:rsid w:val="5D1FA909"/>
    <w:rsid w:val="5F5DB1B9"/>
    <w:rsid w:val="5FE60A75"/>
    <w:rsid w:val="5FFA0866"/>
    <w:rsid w:val="5FFF4528"/>
    <w:rsid w:val="5FFF7B0D"/>
    <w:rsid w:val="63FFDCD4"/>
    <w:rsid w:val="693E6EA0"/>
    <w:rsid w:val="6B207758"/>
    <w:rsid w:val="6B9725A3"/>
    <w:rsid w:val="6D926A83"/>
    <w:rsid w:val="6DCFDFA9"/>
    <w:rsid w:val="6FDA718C"/>
    <w:rsid w:val="6FF9A6D5"/>
    <w:rsid w:val="6FFF2B4A"/>
    <w:rsid w:val="6FFF80F2"/>
    <w:rsid w:val="71FF42A2"/>
    <w:rsid w:val="75FE2E2D"/>
    <w:rsid w:val="77BEE5A8"/>
    <w:rsid w:val="77DC1D56"/>
    <w:rsid w:val="7B9D3E8C"/>
    <w:rsid w:val="7BF65A7B"/>
    <w:rsid w:val="7D5BB023"/>
    <w:rsid w:val="7DD77D75"/>
    <w:rsid w:val="7DF2EE4A"/>
    <w:rsid w:val="7DF41464"/>
    <w:rsid w:val="7E37D687"/>
    <w:rsid w:val="7ED88FD8"/>
    <w:rsid w:val="7EED5DA2"/>
    <w:rsid w:val="7F7E75D6"/>
    <w:rsid w:val="7FBF227E"/>
    <w:rsid w:val="7FCEAF60"/>
    <w:rsid w:val="7FDF7FDA"/>
    <w:rsid w:val="7FEFA355"/>
    <w:rsid w:val="7FF11407"/>
    <w:rsid w:val="7FF3D4BF"/>
    <w:rsid w:val="7FF5DE7C"/>
    <w:rsid w:val="7FFEE08F"/>
    <w:rsid w:val="7FFFAB80"/>
    <w:rsid w:val="853F57DC"/>
    <w:rsid w:val="87EF9861"/>
    <w:rsid w:val="89BFFA29"/>
    <w:rsid w:val="8BFA2933"/>
    <w:rsid w:val="8F7E5020"/>
    <w:rsid w:val="99BDECBC"/>
    <w:rsid w:val="9FBE8CDA"/>
    <w:rsid w:val="9FEF640D"/>
    <w:rsid w:val="A7FDEE7A"/>
    <w:rsid w:val="AFFCA1E0"/>
    <w:rsid w:val="B9E82CBC"/>
    <w:rsid w:val="BDA7E92E"/>
    <w:rsid w:val="BF6B90DE"/>
    <w:rsid w:val="BFDF0537"/>
    <w:rsid w:val="CFFC3071"/>
    <w:rsid w:val="D73FFA15"/>
    <w:rsid w:val="DA4FBBE4"/>
    <w:rsid w:val="DDFB6A4E"/>
    <w:rsid w:val="DFBB38EA"/>
    <w:rsid w:val="DFBFE8AD"/>
    <w:rsid w:val="E5765B29"/>
    <w:rsid w:val="E7DE4C16"/>
    <w:rsid w:val="EB736232"/>
    <w:rsid w:val="EF73A7C2"/>
    <w:rsid w:val="EFDF9A60"/>
    <w:rsid w:val="F36759DC"/>
    <w:rsid w:val="F7BFDD63"/>
    <w:rsid w:val="F7D51FE1"/>
    <w:rsid w:val="F7EB9B20"/>
    <w:rsid w:val="FBFFFF10"/>
    <w:rsid w:val="FDDF110A"/>
    <w:rsid w:val="FDEFD037"/>
    <w:rsid w:val="FDF6F757"/>
    <w:rsid w:val="FE6F7EBA"/>
    <w:rsid w:val="FE6F98AD"/>
    <w:rsid w:val="FEE7C40A"/>
    <w:rsid w:val="FF7DA1D3"/>
    <w:rsid w:val="FFFF3D2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style>
  <w:style w:type="paragraph" w:styleId="9">
    <w:name w:val="Body Text"/>
    <w:basedOn w:val="1"/>
    <w:next w:val="1"/>
    <w:qFormat/>
    <w:uiPriority w:val="0"/>
    <w:rPr>
      <w:rFonts w:cs="Times New Roman"/>
      <w:kern w:val="0"/>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link w:val="22"/>
    <w:semiHidden/>
    <w:unhideWhenUsed/>
    <w:qFormat/>
    <w:uiPriority w:val="99"/>
    <w:pPr>
      <w:spacing w:after="0" w:line="240" w:lineRule="auto"/>
    </w:pPr>
    <w:rPr>
      <w:rFonts w:ascii="Times New Roman" w:hAnsi="Times New Roman" w:eastAsia="宋体" w:cs="Times New Roman"/>
      <w:sz w:val="20"/>
      <w:szCs w:val="20"/>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4">
    <w:name w:val="Normal (Web)"/>
    <w:basedOn w:val="1"/>
    <w:qFormat/>
    <w:uiPriority w:val="0"/>
    <w:rPr>
      <w:sz w:val="24"/>
    </w:rPr>
  </w:style>
  <w:style w:type="paragraph" w:styleId="15">
    <w:name w:val="Title"/>
    <w:qFormat/>
    <w:uiPriority w:val="0"/>
    <w:pPr>
      <w:spacing w:before="480" w:after="480" w:line="288" w:lineRule="auto"/>
      <w:ind w:left="0"/>
    </w:pPr>
    <w:rPr>
      <w:rFonts w:ascii="Arial" w:hAnsi="Arial" w:eastAsia="等线" w:cs="Arial"/>
      <w:b/>
      <w:bCs/>
      <w:sz w:val="52"/>
      <w:szCs w:val="52"/>
    </w:rPr>
  </w:style>
  <w:style w:type="character" w:styleId="18">
    <w:name w:val="Strong"/>
    <w:basedOn w:val="17"/>
    <w:qFormat/>
    <w:uiPriority w:val="0"/>
    <w:rPr>
      <w:b/>
    </w:rPr>
  </w:style>
  <w:style w:type="character" w:styleId="19">
    <w:name w:val="Hyperlink"/>
    <w:unhideWhenUsed/>
    <w:qFormat/>
    <w:uiPriority w:val="99"/>
    <w:rPr>
      <w:color w:val="0563C1"/>
      <w:u w:val="single"/>
    </w:rPr>
  </w:style>
  <w:style w:type="character" w:styleId="20">
    <w:name w:val="footnote reference"/>
    <w:semiHidden/>
    <w:unhideWhenUsed/>
    <w:qFormat/>
    <w:uiPriority w:val="99"/>
    <w:rPr>
      <w:vertAlign w:val="superscript"/>
    </w:rPr>
  </w:style>
  <w:style w:type="paragraph" w:styleId="21">
    <w:name w:val="List Paragraph"/>
    <w:qFormat/>
    <w:uiPriority w:val="0"/>
    <w:rPr>
      <w:rFonts w:ascii="Times New Roman" w:hAnsi="Times New Roman" w:eastAsia="宋体" w:cs="Times New Roman"/>
      <w:sz w:val="21"/>
      <w:szCs w:val="22"/>
    </w:rPr>
  </w:style>
  <w:style w:type="character" w:customStyle="1" w:styleId="22">
    <w:name w:val="Footnote Text Char"/>
    <w:link w:val="12"/>
    <w:semiHidden/>
    <w:unhideWhenUsed/>
    <w:qFormat/>
    <w:uiPriority w:val="99"/>
    <w:rPr>
      <w:sz w:val="20"/>
      <w:szCs w:val="20"/>
    </w:rPr>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paragraph" w:customStyle="1" w:styleId="24">
    <w:name w:val="_Style 14"/>
    <w:qFormat/>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5452</Words>
  <Characters>5548</Characters>
  <TotalTime>40</TotalTime>
  <ScaleCrop>false</ScaleCrop>
  <LinksUpToDate>false</LinksUpToDate>
  <CharactersWithSpaces>5551</CharactersWithSpaces>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2026-03-06T07:56:00Z</dcterms:created>
  <dc:creator>Un-named</dc:creator>
  <cp:lastModifiedBy>RSJ-096</cp:lastModifiedBy>
  <cp:lastPrinted>2026-06-14T06:33:00Z</cp:lastPrinted>
  <dcterms:modified xsi:type="dcterms:W3CDTF">2026-06-29T10:38:27Z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9591067EC7ABBD22A3DA416A581F3681_43</vt:lpwstr>
  </property>
  <property fmtid="{D5CDD505-2E9C-101B-9397-08002B2CF9AE}" pid="4" name="KSOTemplateDocerSaveRecord">
    <vt:lpwstr>eyJoZGlkIjoiODYyNDkzZWMzM2U4MTE0N2RiNmRlMmZlNWE3MjVjNWEiLCJ1c2VySWQiOiI0MDM2MTIxNzQifQ==</vt:lpwstr>
  </property>
</Properties>
</file>