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tbl>
      <w:tblPr>
        <w:tblStyle w:val="4"/>
        <w:tblpPr w:leftFromText="180" w:rightFromText="180" w:vertAnchor="page" w:horzAnchor="page" w:tblpX="1777" w:tblpY="2908"/>
        <w:tblOverlap w:val="never"/>
        <w:tblW w:w="8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330"/>
        <w:gridCol w:w="3920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866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color="auto" w:fill="FFFFFF"/>
              </w:rPr>
              <w:t>鄂尔多斯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color="auto" w:fill="FFFFFF"/>
                <w:lang w:eastAsia="zh-CN"/>
              </w:rPr>
              <w:t>市水利局所属事业单位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color="auto" w:fill="FFFFFF"/>
                <w:lang w:val="en-US" w:eastAsia="zh-CN"/>
              </w:rPr>
              <w:t>2024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color="auto" w:fill="FFFFFF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color="auto" w:fill="FFFFFF"/>
              </w:rPr>
              <w:t>引进高层次人才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auto"/>
                <w:spacing w:val="0"/>
                <w:sz w:val="44"/>
                <w:szCs w:val="44"/>
                <w:shd w:val="clear" w:color="auto" w:fill="FFFFFF"/>
                <w:lang w:eastAsia="zh-CN"/>
              </w:rPr>
              <w:t>进入面试人员名单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袁宏颖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鄂尔多斯市水利局2024年人才引进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吴沛沛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鄂尔多斯市水利局2024年人才引进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任强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鄂尔多斯市水利局2024年人才引进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王娇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鄂尔多斯市水利局2024年人才引进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李扬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鄂尔多斯市水利局2024年人才引进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李文栋</w:t>
            </w:r>
          </w:p>
        </w:tc>
        <w:tc>
          <w:tcPr>
            <w:tcW w:w="3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鄂尔多斯市水利局2024年人才引进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B3743D-8EF6-45D0-B5CA-3A2AD7B6AA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E0272AA-5245-4156-9E43-F4911051684B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3" w:fontKey="{818BE76B-782E-4D82-90E6-065322C73C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jllYjA5ODI1ZDNhOGVhZDE2NzI2NjM5N2UyOGQifQ=="/>
  </w:docVars>
  <w:rsids>
    <w:rsidRoot w:val="700D0962"/>
    <w:rsid w:val="12191EC2"/>
    <w:rsid w:val="16766311"/>
    <w:rsid w:val="2E750F02"/>
    <w:rsid w:val="3A415332"/>
    <w:rsid w:val="41407D81"/>
    <w:rsid w:val="620D6CC0"/>
    <w:rsid w:val="700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575" w:lineRule="exact"/>
      <w:ind w:firstLine="420" w:firstLineChars="200"/>
      <w:outlineLvl w:val="3"/>
    </w:pPr>
    <w:rPr>
      <w:rFonts w:ascii="仿宋_GB2312" w:hAnsi="仿宋_GB2312" w:eastAsia="仿宋_GB2312"/>
      <w:b/>
      <w:sz w:val="32"/>
    </w:rPr>
  </w:style>
  <w:style w:type="paragraph" w:styleId="3">
    <w:name w:val="heading 5"/>
    <w:basedOn w:val="1"/>
    <w:next w:val="1"/>
    <w:autoRedefine/>
    <w:semiHidden/>
    <w:unhideWhenUsed/>
    <w:qFormat/>
    <w:uiPriority w:val="0"/>
    <w:pPr>
      <w:keepNext/>
      <w:keepLines/>
      <w:kinsoku w:val="0"/>
      <w:autoSpaceDE w:val="0"/>
      <w:autoSpaceDN w:val="0"/>
      <w:snapToGrid w:val="0"/>
      <w:spacing w:before="280" w:beforeLines="0" w:beforeAutospacing="0" w:after="290" w:afterLines="0" w:afterAutospacing="0" w:line="575" w:lineRule="exact"/>
      <w:ind w:firstLine="420" w:firstLineChars="200"/>
      <w:outlineLvl w:val="4"/>
    </w:pPr>
    <w:rPr>
      <w:rFonts w:ascii="仿宋_GB2312" w:hAnsi="仿宋_GB2312" w:eastAsia="仿宋_GB2312"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x"/>
    <w:basedOn w:val="1"/>
    <w:uiPriority w:val="0"/>
    <w:pPr>
      <w:keepNext/>
      <w:keepLines/>
      <w:spacing w:before="260" w:beforeLines="0" w:after="260" w:afterLines="0"/>
      <w:ind w:firstLine="640" w:firstLineChars="200"/>
      <w:outlineLvl w:val="2"/>
    </w:pPr>
    <w:rPr>
      <w:rFonts w:hint="eastAsia" w:ascii="仿宋_GB2312" w:hAnsi="仿宋_GB2312" w:eastAsia="仿宋_GB2312" w:cs="仿宋_GB2312"/>
      <w:bCs/>
      <w:color w:val="auto"/>
      <w:sz w:val="32"/>
      <w:szCs w:val="32"/>
    </w:rPr>
  </w:style>
  <w:style w:type="paragraph" w:customStyle="1" w:styleId="7">
    <w:name w:val="样式1"/>
    <w:basedOn w:val="1"/>
    <w:next w:val="1"/>
    <w:autoRedefine/>
    <w:qFormat/>
    <w:uiPriority w:val="0"/>
    <w:pPr>
      <w:keepNext/>
      <w:keepLines/>
      <w:spacing w:beforeLines="0" w:afterLines="0" w:line="575" w:lineRule="exact"/>
      <w:ind w:left="0" w:leftChars="0" w:firstLine="420" w:firstLineChars="200"/>
      <w:outlineLvl w:val="3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2024-03-28T08:00:00Z</dcterms:created>
  <dc:creator>ucfuhic</dc:creator>
  <cp:lastModifiedBy>ucfuhic</cp:lastModifiedBy>
  <dcterms:modified xsi:type="dcterms:W3CDTF">2024-03-28T08:05:20Z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8B08687AE7EF487B85C7917463E17D3C_11</vt:lpwstr>
  </property>
</Properties>
</file>